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726BB" w14:textId="720A492F" w:rsidR="00CD455A" w:rsidRPr="00E33C1B" w:rsidRDefault="00D17794" w:rsidP="00CD455A">
      <w:pPr>
        <w:shd w:val="clear" w:color="auto" w:fill="FFFFFF"/>
        <w:spacing w:after="0" w:line="240" w:lineRule="auto"/>
        <w:jc w:val="both"/>
        <w:rPr>
          <w:rFonts w:ascii="Cambria" w:eastAsia="Times New Roman" w:hAnsi="Cambria" w:cs="Helvetica"/>
          <w:kern w:val="0"/>
          <w:sz w:val="26"/>
          <w:szCs w:val="26"/>
          <w:lang w:eastAsia="en-GB"/>
          <w14:ligatures w14:val="none"/>
        </w:rPr>
      </w:pPr>
      <w:r w:rsidRPr="00E33C1B">
        <w:rPr>
          <w:rFonts w:ascii="Cambria" w:eastAsia="Times New Roman" w:hAnsi="Cambria" w:cs="Helvetica"/>
          <w:kern w:val="0"/>
          <w:sz w:val="26"/>
          <w:szCs w:val="26"/>
          <w:lang w:eastAsia="en-GB"/>
          <w14:ligatures w14:val="none"/>
        </w:rPr>
        <w:t>Organisation de l'examen de MCS – thématique, exigences, notation, bibliographie</w:t>
      </w:r>
    </w:p>
    <w:p w14:paraId="4B0D3A09" w14:textId="77777777" w:rsidR="00D17794" w:rsidRPr="00E33C1B" w:rsidRDefault="00D17794" w:rsidP="00CD455A">
      <w:pPr>
        <w:shd w:val="clear" w:color="auto" w:fill="FFFFFF"/>
        <w:spacing w:after="0" w:line="240" w:lineRule="auto"/>
        <w:jc w:val="both"/>
        <w:rPr>
          <w:rFonts w:ascii="Cambria" w:eastAsia="Times New Roman" w:hAnsi="Cambria" w:cs="Helvetica"/>
          <w:kern w:val="0"/>
          <w:sz w:val="26"/>
          <w:szCs w:val="26"/>
          <w:lang w:eastAsia="en-GB"/>
          <w14:ligatures w14:val="none"/>
        </w:rPr>
      </w:pPr>
    </w:p>
    <w:p w14:paraId="7FA74FDF" w14:textId="77777777" w:rsidR="00D17794" w:rsidRPr="00E33C1B" w:rsidRDefault="00D17794" w:rsidP="00CD455A">
      <w:pPr>
        <w:shd w:val="clear" w:color="auto" w:fill="FFFFFF"/>
        <w:spacing w:after="0" w:line="240" w:lineRule="auto"/>
        <w:jc w:val="both"/>
        <w:rPr>
          <w:rFonts w:ascii="Helvetica" w:eastAsia="Times New Roman" w:hAnsi="Helvetica" w:cs="Helvetica"/>
          <w:kern w:val="0"/>
          <w:lang w:eastAsia="en-GB"/>
          <w14:ligatures w14:val="none"/>
        </w:rPr>
      </w:pPr>
    </w:p>
    <w:tbl>
      <w:tblPr>
        <w:tblW w:w="9285" w:type="dxa"/>
        <w:shd w:val="clear" w:color="auto" w:fill="FFFFFF"/>
        <w:tblCellMar>
          <w:top w:w="15" w:type="dxa"/>
          <w:left w:w="15" w:type="dxa"/>
          <w:bottom w:w="15" w:type="dxa"/>
          <w:right w:w="15" w:type="dxa"/>
        </w:tblCellMar>
        <w:tblLook w:val="04A0" w:firstRow="1" w:lastRow="0" w:firstColumn="1" w:lastColumn="0" w:noHBand="0" w:noVBand="1"/>
      </w:tblPr>
      <w:tblGrid>
        <w:gridCol w:w="855"/>
        <w:gridCol w:w="2790"/>
        <w:gridCol w:w="5640"/>
      </w:tblGrid>
      <w:tr w:rsidR="00E33C1B" w:rsidRPr="00E33C1B" w14:paraId="488E8BB7" w14:textId="77777777" w:rsidTr="009434DD">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3778533F"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N</w:t>
            </w:r>
            <w:r w:rsidRPr="00E33C1B">
              <w:rPr>
                <w:rFonts w:ascii="Helvetica" w:eastAsia="Times New Roman" w:hAnsi="Helvetica" w:cs="Helvetica"/>
                <w:kern w:val="0"/>
                <w:sz w:val="20"/>
                <w:szCs w:val="20"/>
                <w:vertAlign w:val="superscript"/>
                <w:lang w:eastAsia="en-GB"/>
                <w14:ligatures w14:val="none"/>
              </w:rPr>
              <w:t>0</w:t>
            </w:r>
            <w:r w:rsidRPr="00E33C1B">
              <w:rPr>
                <w:rFonts w:ascii="Helvetica" w:eastAsia="Times New Roman" w:hAnsi="Helvetica" w:cs="Helvetica"/>
                <w:kern w:val="0"/>
                <w:sz w:val="20"/>
                <w:szCs w:val="20"/>
                <w:lang w:eastAsia="en-GB"/>
                <w14:ligatures w14:val="none"/>
              </w:rPr>
              <w:t>.</w:t>
            </w:r>
          </w:p>
        </w:tc>
        <w:tc>
          <w:tcPr>
            <w:tcW w:w="2790" w:type="dxa"/>
            <w:tcBorders>
              <w:top w:val="single" w:sz="8" w:space="0" w:color="auto"/>
              <w:left w:val="nil"/>
              <w:bottom w:val="single" w:sz="8" w:space="0" w:color="auto"/>
              <w:right w:val="single" w:sz="8" w:space="0" w:color="auto"/>
            </w:tcBorders>
            <w:shd w:val="clear" w:color="auto" w:fill="FFFFFF"/>
            <w:vAlign w:val="center"/>
            <w:hideMark/>
          </w:tcPr>
          <w:p w14:paraId="1E1E600C"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Thèmes</w:t>
            </w:r>
          </w:p>
        </w:tc>
        <w:tc>
          <w:tcPr>
            <w:tcW w:w="5640" w:type="dxa"/>
            <w:tcBorders>
              <w:top w:val="single" w:sz="8" w:space="0" w:color="auto"/>
              <w:left w:val="nil"/>
              <w:bottom w:val="single" w:sz="8" w:space="0" w:color="auto"/>
              <w:right w:val="single" w:sz="8" w:space="0" w:color="auto"/>
            </w:tcBorders>
            <w:shd w:val="clear" w:color="auto" w:fill="FFFFFF"/>
            <w:vAlign w:val="center"/>
            <w:hideMark/>
          </w:tcPr>
          <w:p w14:paraId="0E575CC4"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Objectifs pédagogiques (concepts requis)</w:t>
            </w:r>
          </w:p>
        </w:tc>
      </w:tr>
      <w:tr w:rsidR="00E33C1B" w:rsidRPr="00E33C1B" w14:paraId="2FB41EF6"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1F92D462"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1</w:t>
            </w:r>
          </w:p>
        </w:tc>
        <w:tc>
          <w:tcPr>
            <w:tcW w:w="2790" w:type="dxa"/>
            <w:tcBorders>
              <w:top w:val="nil"/>
              <w:left w:val="nil"/>
              <w:bottom w:val="single" w:sz="8" w:space="0" w:color="auto"/>
              <w:right w:val="single" w:sz="8" w:space="0" w:color="auto"/>
            </w:tcBorders>
            <w:shd w:val="clear" w:color="auto" w:fill="FFFFFF"/>
            <w:vAlign w:val="center"/>
            <w:hideMark/>
          </w:tcPr>
          <w:p w14:paraId="5EEA7277"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Introduction. Importance de la méthodologie de la recherche médicale. Variabilité.</w:t>
            </w:r>
          </w:p>
        </w:tc>
        <w:tc>
          <w:tcPr>
            <w:tcW w:w="5640" w:type="dxa"/>
            <w:tcBorders>
              <w:top w:val="nil"/>
              <w:left w:val="nil"/>
              <w:bottom w:val="single" w:sz="8" w:space="0" w:color="auto"/>
              <w:right w:val="single" w:sz="8" w:space="0" w:color="auto"/>
            </w:tcBorders>
            <w:shd w:val="clear" w:color="auto" w:fill="FFFFFF"/>
            <w:vAlign w:val="center"/>
            <w:hideMark/>
          </w:tcPr>
          <w:p w14:paraId="63362847"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Motive et explique la nécessité d'étudier et de comprendre la bonne conception et la mise en œuvre des études médicales, ainsi que les règles de l'écriture médicale et la diffusion appropriée des résultats de la recherche, dans leurs positions futures en tant que chercheurs “créateurs” (la thèse de licence) et chercheurs "Consommateurs" (médecins). Définit l'information médicale, les données médicales et son traitement (informatique médicale). Définit la variabilité biologique et les variables médicales. Classifie les variables médicales par type. Exemplifie les types des variables médicales. Reconnaît les types de variables médicales dans des cas spécifiques. Explique les moyens de recueillir des informations médicales précises et de les coder en tant que données médicales. Explique les façons de présenter et de mesurer les données médicales (échelles de mesure) et leur interprétation comme information médicale. Collecte et code correctement les informations médicales (transforme les informations en données correctement). Présente correctement les données médicales (reconstruit correctement les informations des données).</w:t>
            </w:r>
          </w:p>
        </w:tc>
      </w:tr>
      <w:tr w:rsidR="00E33C1B" w:rsidRPr="00E33C1B" w14:paraId="48487A5C"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2C147DD0"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2</w:t>
            </w:r>
          </w:p>
        </w:tc>
        <w:tc>
          <w:tcPr>
            <w:tcW w:w="2790" w:type="dxa"/>
            <w:tcBorders>
              <w:top w:val="nil"/>
              <w:left w:val="nil"/>
              <w:bottom w:val="single" w:sz="8" w:space="0" w:color="auto"/>
              <w:right w:val="single" w:sz="8" w:space="0" w:color="auto"/>
            </w:tcBorders>
            <w:shd w:val="clear" w:color="auto" w:fill="FFFFFF"/>
            <w:vAlign w:val="center"/>
            <w:hideMark/>
          </w:tcPr>
          <w:p w14:paraId="292B621D"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Séquences (phases) de la recherche médicale.</w:t>
            </w:r>
          </w:p>
          <w:p w14:paraId="005FCC4E"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Documentation bibliographique.</w:t>
            </w:r>
          </w:p>
        </w:tc>
        <w:tc>
          <w:tcPr>
            <w:tcW w:w="5640" w:type="dxa"/>
            <w:tcBorders>
              <w:top w:val="nil"/>
              <w:left w:val="nil"/>
              <w:bottom w:val="single" w:sz="8" w:space="0" w:color="auto"/>
              <w:right w:val="single" w:sz="8" w:space="0" w:color="auto"/>
            </w:tcBorders>
            <w:shd w:val="clear" w:color="auto" w:fill="FFFFFF"/>
            <w:vAlign w:val="center"/>
            <w:hideMark/>
          </w:tcPr>
          <w:p w14:paraId="762D70AC"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Explique les séquences (étapes / phases) de la recherche médicale. Explique l'utilité de la documentation bibliographique dans la recherche médicale et la pratique médicale. Explique les étapes de recherche dans lesquelles la documentation bibliographique est nécessaire. Exemplifie les bases de données médicales bibliographiques couramment utilisées. Définit et applique des stratégies de recherche bibliographique en utilisant la technique PICO pour des situations spécifiques. Utilise l'ordinateur pour la documentation </w:t>
            </w:r>
            <w:proofErr w:type="gramStart"/>
            <w:r w:rsidRPr="00E33C1B">
              <w:rPr>
                <w:rFonts w:ascii="Helvetica" w:eastAsia="Times New Roman" w:hAnsi="Helvetica" w:cs="Helvetica"/>
                <w:kern w:val="0"/>
                <w:sz w:val="20"/>
                <w:szCs w:val="20"/>
                <w:lang w:eastAsia="en-GB"/>
                <w14:ligatures w14:val="none"/>
              </w:rPr>
              <w:t>bibliographique:</w:t>
            </w:r>
            <w:proofErr w:type="gramEnd"/>
            <w:r w:rsidRPr="00E33C1B">
              <w:rPr>
                <w:rFonts w:ascii="Helvetica" w:eastAsia="Times New Roman" w:hAnsi="Helvetica" w:cs="Helvetica"/>
                <w:kern w:val="0"/>
                <w:sz w:val="20"/>
                <w:szCs w:val="20"/>
                <w:lang w:eastAsia="en-GB"/>
                <w14:ligatures w14:val="none"/>
              </w:rPr>
              <w:t xml:space="preserve"> applique des stratégies de recherche bibliographique en utilisant la technique PICO dans PubMed (MEDLINE). Formule des questions de recherche appropriées. Associée correctement les hypothèses à des questions de recherche pertinentes. Applique des stratégies de recherche pour identifier les sources médicales dans la bibliothèque de UMF Cluj. Choisir la documentation pertinente pour des questions de recherche spécifiques. Répertorie les composants d'un catalogue bibliographique. Crée un catalogue bibliographique correct en format électronique sur une question de recherche donnée. Explique l'utilité des références dans la recherche. Explique et applique le système de référencement de Vancouver pour différents types de textes médicaux (article original, livre, etc.). Écrit correctement divers types de références selon le système de Vancouver.</w:t>
            </w:r>
          </w:p>
        </w:tc>
      </w:tr>
      <w:tr w:rsidR="00E33C1B" w:rsidRPr="00E33C1B" w14:paraId="37436466"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1F8AF7A9"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3</w:t>
            </w:r>
          </w:p>
        </w:tc>
        <w:tc>
          <w:tcPr>
            <w:tcW w:w="2790" w:type="dxa"/>
            <w:tcBorders>
              <w:top w:val="nil"/>
              <w:left w:val="nil"/>
              <w:bottom w:val="single" w:sz="8" w:space="0" w:color="auto"/>
              <w:right w:val="single" w:sz="8" w:space="0" w:color="auto"/>
            </w:tcBorders>
            <w:shd w:val="clear" w:color="auto" w:fill="FFFFFF"/>
            <w:vAlign w:val="center"/>
            <w:hideMark/>
          </w:tcPr>
          <w:p w14:paraId="314BD8E0"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Séquences (phases) de la recherche médicale. Le protocole de recherche. Variables d'étude. Types de recherche. L'équipe de recherche.</w:t>
            </w:r>
          </w:p>
        </w:tc>
        <w:tc>
          <w:tcPr>
            <w:tcW w:w="5640" w:type="dxa"/>
            <w:tcBorders>
              <w:top w:val="nil"/>
              <w:left w:val="nil"/>
              <w:bottom w:val="single" w:sz="8" w:space="0" w:color="auto"/>
              <w:right w:val="single" w:sz="8" w:space="0" w:color="auto"/>
            </w:tcBorders>
            <w:shd w:val="clear" w:color="auto" w:fill="FFFFFF"/>
            <w:vAlign w:val="center"/>
            <w:hideMark/>
          </w:tcPr>
          <w:p w14:paraId="45CBD1FB"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Formule les séquences (phases) d'une étude médicale. Nommer et expliquer les composantes d'un protocole / plan de recherche médicale. Identifie les composantes du protocole de recherche pour des scénarios de recherche spécifiques. Nommer et expliquer les types de collecte de données dans les études médicales. Nommer et expliquer les types d'échantillonnage (probabiliste et non probabiliste) dans les études médicales. Formule le but et les objectifs pour des scénarios de recherche spécifiques. Formule des hypothèses pour des scénarios de recherche spécifiques. Reconnaître correctement le domaine de la recherche clinique. Reconnaît </w:t>
            </w:r>
            <w:r w:rsidRPr="00E33C1B">
              <w:rPr>
                <w:rFonts w:ascii="Helvetica" w:eastAsia="Times New Roman" w:hAnsi="Helvetica" w:cs="Helvetica"/>
                <w:kern w:val="0"/>
                <w:sz w:val="20"/>
                <w:szCs w:val="20"/>
                <w:lang w:eastAsia="en-GB"/>
                <w14:ligatures w14:val="none"/>
              </w:rPr>
              <w:lastRenderedPageBreak/>
              <w:t>et classe les études médicales par type (en fonction des objectifs et des résultats escomptés). Définit correctement la population cible et la population accessible d'une étude médicale. Formule correctement les critères d'inclusion et d'exclusion pour un échantillon d'étude dans un scénario de recherche donné. Identifie correctement le type de collecte de données pour un scénario de recherche donné. Dresse la liste des méthodes permettant de décrire différents types de variables dans des études médicales spécifiques (à l'aide de tableaux, de graphiques et de statistiques descriptives). Appliquer correctement des méthodes pour décrire différents types de variables dans des études médicales spécifiques à l'aide de logiciels statistiques (tableaux, graphiques et statistiques descriptives). Explique le sens des résultats descriptifs des études médicales concrètes (tableaux, graphiques et statistiques descriptives). Lister les méthodes correctes d'analyse des données pour différents types de variables dans les études médicales concrètes (tests statistiques, corrélation, modèles de régression, indicateurs statistiques et médicaux). Appliquer des méthodes correctes d'analyse des données pour différents types de variables dans des études médicales concrètes utilisant des logiciels statistiques (tests statistiques, corrélation, modèles de régression, indicateurs statistiques et médicaux). Explique la signification des résultats analytiques spécifiques des études médicales (tests, corrélation, modèles de régression, indicateurs statistiques et médicaux).</w:t>
            </w:r>
          </w:p>
        </w:tc>
      </w:tr>
      <w:tr w:rsidR="00E33C1B" w:rsidRPr="00E33C1B" w14:paraId="79326D9A"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2F6F6B35"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lastRenderedPageBreak/>
              <w:t>4</w:t>
            </w:r>
          </w:p>
        </w:tc>
        <w:tc>
          <w:tcPr>
            <w:tcW w:w="2790" w:type="dxa"/>
            <w:tcBorders>
              <w:top w:val="nil"/>
              <w:left w:val="nil"/>
              <w:bottom w:val="single" w:sz="8" w:space="0" w:color="auto"/>
              <w:right w:val="single" w:sz="8" w:space="0" w:color="auto"/>
            </w:tcBorders>
            <w:shd w:val="clear" w:color="auto" w:fill="FFFFFF"/>
            <w:vAlign w:val="center"/>
            <w:hideMark/>
          </w:tcPr>
          <w:p w14:paraId="60709509"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Études descriptives.</w:t>
            </w:r>
          </w:p>
          <w:p w14:paraId="5A1270BB"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Études évaluant les facteurs pronostiques des maladies.</w:t>
            </w:r>
          </w:p>
        </w:tc>
        <w:tc>
          <w:tcPr>
            <w:tcW w:w="5640" w:type="dxa"/>
            <w:tcBorders>
              <w:top w:val="nil"/>
              <w:left w:val="nil"/>
              <w:bottom w:val="single" w:sz="8" w:space="0" w:color="auto"/>
              <w:right w:val="single" w:sz="8" w:space="0" w:color="auto"/>
            </w:tcBorders>
            <w:shd w:val="clear" w:color="auto" w:fill="FFFFFF"/>
            <w:vAlign w:val="center"/>
            <w:hideMark/>
          </w:tcPr>
          <w:p w14:paraId="107B9672"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Explique les études descriptives comme sources des nouvelles hypothèses. Explique les questions de recherche descriptives, par opposition aux questions de recherche analytique.</w:t>
            </w:r>
          </w:p>
          <w:p w14:paraId="70474517"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Définit les études d'évaluation des facteurs pronostiques (impliqués dans différentes pathologies). Explique différents types d'études d'évaluation des facteurs pronostiques. Explique la méthodologie des études d'évaluation des facteurs pronostiques. Construit des tableaux de contingence basés sur des données provenant de scénarios de recherche spécifiques des facteurs pronostiques ou basés sur des fichiers de données. Tester l'existence de liens entre les facteurs pronostiques et les maladies. Calcule des indicateurs médicaux / sanitaires pour quantifier l'importance des liens entre les facteurs pronostiques et les maladies. Évalue l'existence d'un lien de causalité entre la présence de facteurs pronostiques et le développement de maladies d'intérêt. Choisir et justifier des indicateurs médicaux appropriés pour quantifier la relation entre les facteurs pronostiques et les maladies. Interpréter statistiquement les indicateurs médicaux utilisés pour quantifier la relation entre les facteurs pronostiques et les maladies (estimations ponctuelles et leurs intervalles de confiance de 95%). Interprète cliniquement les indicateurs médicaux utilisés pour quantifier la relation entre les facteurs pronostiques et les maladies (estimations ponctuelles et leurs intervalles de confiance à 95%). Évalue la précision et l'importance clinique de ces résultats. Discrimination entre précision et précision / validité des résultats.</w:t>
            </w:r>
          </w:p>
        </w:tc>
      </w:tr>
      <w:tr w:rsidR="00E33C1B" w:rsidRPr="00E33C1B" w14:paraId="65A8CA9F"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1EA39CAA"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5</w:t>
            </w:r>
          </w:p>
        </w:tc>
        <w:tc>
          <w:tcPr>
            <w:tcW w:w="2790" w:type="dxa"/>
            <w:tcBorders>
              <w:top w:val="nil"/>
              <w:left w:val="nil"/>
              <w:bottom w:val="single" w:sz="8" w:space="0" w:color="auto"/>
              <w:right w:val="single" w:sz="8" w:space="0" w:color="auto"/>
            </w:tcBorders>
            <w:shd w:val="clear" w:color="auto" w:fill="FFFFFF"/>
            <w:vAlign w:val="center"/>
            <w:hideMark/>
          </w:tcPr>
          <w:p w14:paraId="05BDF902"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Études évaluant les méthodes / tests de diagnostic.</w:t>
            </w:r>
          </w:p>
        </w:tc>
        <w:tc>
          <w:tcPr>
            <w:tcW w:w="5640" w:type="dxa"/>
            <w:tcBorders>
              <w:top w:val="nil"/>
              <w:left w:val="nil"/>
              <w:bottom w:val="single" w:sz="8" w:space="0" w:color="auto"/>
              <w:right w:val="single" w:sz="8" w:space="0" w:color="auto"/>
            </w:tcBorders>
            <w:shd w:val="clear" w:color="auto" w:fill="FFFFFF"/>
            <w:vAlign w:val="center"/>
            <w:hideMark/>
          </w:tcPr>
          <w:p w14:paraId="64066DA2"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Définit les études d'évaluation des tests diagnostiques. Explique les quatre phases de l'évaluation des tests diagnostiques. Explique la méthodologie des études évaluant </w:t>
            </w:r>
            <w:r w:rsidRPr="00E33C1B">
              <w:rPr>
                <w:rFonts w:ascii="Helvetica" w:eastAsia="Times New Roman" w:hAnsi="Helvetica" w:cs="Helvetica"/>
                <w:kern w:val="0"/>
                <w:sz w:val="20"/>
                <w:szCs w:val="20"/>
                <w:lang w:eastAsia="en-GB"/>
                <w14:ligatures w14:val="none"/>
              </w:rPr>
              <w:lastRenderedPageBreak/>
              <w:t>les tests diagnostiques. Construire des tableaux de contingence basés sur des données provenant de scénarios de recherche spécifiques des tests de diagnostic ou basés sur des fichiers de données. Tester l'existence de liens entre les résultats des tests diagnostiques comparés. Calcule des indicateurs médicaux pour quantifier les qualités des tests diagnostiques. Choisit et justifie des indicateurs médicaux adaptés pour mesurer les qualités des tests diagnostiques (dépistage / confirmation). Interpréter statistiquement les indicateurs médicaux utilisés pour quantifier les qualités des tests diagnostiques (estimations ponctuelles et leurs intervalles de confiance à 95%). Interprète cliniquement les indicateurs médicaux utilisés pour quantifier les qualités des tests diagnostiques (estimations ponctuelles et leurs intervalles de confiance à 95%). Évalue la précision et l'importance clinique de ces résultats. Discrimination entre précision et précision / validité des résultats.</w:t>
            </w:r>
          </w:p>
        </w:tc>
      </w:tr>
      <w:tr w:rsidR="00E33C1B" w:rsidRPr="00E33C1B" w14:paraId="02684099"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17722FBF"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lastRenderedPageBreak/>
              <w:t>6</w:t>
            </w:r>
          </w:p>
        </w:tc>
        <w:tc>
          <w:tcPr>
            <w:tcW w:w="2790" w:type="dxa"/>
            <w:tcBorders>
              <w:top w:val="nil"/>
              <w:left w:val="nil"/>
              <w:bottom w:val="single" w:sz="8" w:space="0" w:color="auto"/>
              <w:right w:val="single" w:sz="8" w:space="0" w:color="auto"/>
            </w:tcBorders>
            <w:shd w:val="clear" w:color="auto" w:fill="FFFFFF"/>
            <w:vAlign w:val="center"/>
            <w:hideMark/>
          </w:tcPr>
          <w:p w14:paraId="129E8124"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Études évaluant les approches thérapeutiques / les options de traitement.</w:t>
            </w:r>
          </w:p>
        </w:tc>
        <w:tc>
          <w:tcPr>
            <w:tcW w:w="5640" w:type="dxa"/>
            <w:tcBorders>
              <w:top w:val="nil"/>
              <w:left w:val="nil"/>
              <w:bottom w:val="single" w:sz="8" w:space="0" w:color="auto"/>
              <w:right w:val="single" w:sz="8" w:space="0" w:color="auto"/>
            </w:tcBorders>
            <w:shd w:val="clear" w:color="auto" w:fill="FFFFFF"/>
            <w:vAlign w:val="center"/>
            <w:hideMark/>
          </w:tcPr>
          <w:p w14:paraId="65CCF1E1"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Définit les études d'évaluation des options thérapeutiques. Explique différentes approches dans l'évaluation des options de traitement. Explique les approches méthodologiques possibles des études d'évaluation expérimentale des approches thérapeutiques (types d'essais cliniques, Phases I, II, III, IV). Construit des tableaux de contingence basés sur des données issues de scénarios de recherche spécifiques d'essais cliniques, ou basés sur des fichiers de données. Tester l'existence des liens entre les facteurs thérapeutiques évalués et les événements expérimentaux définis dans </w:t>
            </w:r>
            <w:proofErr w:type="gramStart"/>
            <w:r w:rsidRPr="00E33C1B">
              <w:rPr>
                <w:rFonts w:ascii="Helvetica" w:eastAsia="Times New Roman" w:hAnsi="Helvetica" w:cs="Helvetica"/>
                <w:kern w:val="0"/>
                <w:sz w:val="20"/>
                <w:szCs w:val="20"/>
                <w:lang w:eastAsia="en-GB"/>
                <w14:ligatures w14:val="none"/>
              </w:rPr>
              <w:t>l'étude;</w:t>
            </w:r>
            <w:proofErr w:type="gramEnd"/>
            <w:r w:rsidRPr="00E33C1B">
              <w:rPr>
                <w:rFonts w:ascii="Helvetica" w:eastAsia="Times New Roman" w:hAnsi="Helvetica" w:cs="Helvetica"/>
                <w:kern w:val="0"/>
                <w:sz w:val="20"/>
                <w:szCs w:val="20"/>
                <w:lang w:eastAsia="en-GB"/>
                <w14:ligatures w14:val="none"/>
              </w:rPr>
              <w:t xml:space="preserve"> Évaluant l'existence d'un lien de causalité entre eux. Calcule des indicateurs médicaux pour quantifier l'efficacité thérapeutique / la sécurité. Choisit et justifie des indicateurs médicaux appropriés pour mesurer l'efficacité thérapeutique / la sécurité. Interpréter statistiquement les indicateurs médicaux utilisés pour quantifier l'efficacité thérapeutique / la sécurité (estimations ponctuelles et leurs intervalles de confiance à 95%). Interprète cliniquement les indicateurs médicaux utilisés pour quantifier l'efficacité / la sécurité thérapeutiques (estimations ponctuelles et leurs intervalles de confiance à 95%). Évalue la précision et l'importance clinique de ces résultats. Discrimination entre précision et précision / validité des résultats.</w:t>
            </w:r>
          </w:p>
        </w:tc>
      </w:tr>
      <w:tr w:rsidR="00E33C1B" w:rsidRPr="00E33C1B" w14:paraId="3CD33B59"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7482EAB8"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7</w:t>
            </w:r>
          </w:p>
        </w:tc>
        <w:tc>
          <w:tcPr>
            <w:tcW w:w="2790" w:type="dxa"/>
            <w:tcBorders>
              <w:top w:val="nil"/>
              <w:left w:val="nil"/>
              <w:bottom w:val="single" w:sz="8" w:space="0" w:color="auto"/>
              <w:right w:val="single" w:sz="8" w:space="0" w:color="auto"/>
            </w:tcBorders>
            <w:shd w:val="clear" w:color="auto" w:fill="FFFFFF"/>
            <w:vAlign w:val="center"/>
            <w:hideMark/>
          </w:tcPr>
          <w:p w14:paraId="5D739D70"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Études d'analyse de survie</w:t>
            </w:r>
          </w:p>
        </w:tc>
        <w:tc>
          <w:tcPr>
            <w:tcW w:w="5640" w:type="dxa"/>
            <w:tcBorders>
              <w:top w:val="nil"/>
              <w:left w:val="nil"/>
              <w:bottom w:val="single" w:sz="8" w:space="0" w:color="auto"/>
              <w:right w:val="single" w:sz="8" w:space="0" w:color="auto"/>
            </w:tcBorders>
            <w:shd w:val="clear" w:color="auto" w:fill="FFFFFF"/>
            <w:vAlign w:val="center"/>
            <w:hideMark/>
          </w:tcPr>
          <w:p w14:paraId="376BC78D"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Définit les études de survie (études d’évaluation du temps passée jusqu’à l’apparition d’un événement). Explique les principales caractéristiques des variables de survie. Explique la méthodologie des études de survie. Tester l'existence de liens entre les facteurs pronostiques et le temps / la probabilité de survie. Calcule les indicateurs médicaux pour quantifier l'importance des liens entre les facteurs pronostiques et le temps / la probabilité de survie. Choisir et justifier les indicateurs médicaux appropriés utilisés pour quantifier l'importance des liens entre les facteurs pronostiques et le temps / la probabilité de survie. Interpréter statistiquement les indicateurs médicaux utilisés pour quantifier l'importance des liens entre les facteurs pronostiques et le temps / la probabilité de survie (estimations ponctuelles et leurs intervalles de confiance à 95%). Interprète cliniquement les indicateurs médicaux utilisés pour quantifier l'importance des liens entre les facteurs pronostiques et le temps / la probabilité de survie (estimations ponctuelles et leurs intervalles de confiance à 95%). Évalue la précision et l'importance clinique de ces </w:t>
            </w:r>
            <w:r w:rsidRPr="00E33C1B">
              <w:rPr>
                <w:rFonts w:ascii="Helvetica" w:eastAsia="Times New Roman" w:hAnsi="Helvetica" w:cs="Helvetica"/>
                <w:kern w:val="0"/>
                <w:sz w:val="20"/>
                <w:szCs w:val="20"/>
                <w:lang w:eastAsia="en-GB"/>
                <w14:ligatures w14:val="none"/>
              </w:rPr>
              <w:lastRenderedPageBreak/>
              <w:t>résultats. Discrimination entre précision et précision / validité des résultats.</w:t>
            </w:r>
          </w:p>
        </w:tc>
      </w:tr>
      <w:tr w:rsidR="00E33C1B" w:rsidRPr="00E33C1B" w14:paraId="12283233"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0E9897FB"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lastRenderedPageBreak/>
              <w:t>8</w:t>
            </w:r>
          </w:p>
        </w:tc>
        <w:tc>
          <w:tcPr>
            <w:tcW w:w="2790" w:type="dxa"/>
            <w:tcBorders>
              <w:top w:val="nil"/>
              <w:left w:val="nil"/>
              <w:bottom w:val="single" w:sz="8" w:space="0" w:color="auto"/>
              <w:right w:val="single" w:sz="8" w:space="0" w:color="auto"/>
            </w:tcBorders>
            <w:shd w:val="clear" w:color="auto" w:fill="FFFFFF"/>
            <w:vAlign w:val="center"/>
            <w:hideMark/>
          </w:tcPr>
          <w:p w14:paraId="0F0B3913"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Validité de l'étude. Mise en évidence des erreurs dans les études médicales</w:t>
            </w:r>
          </w:p>
        </w:tc>
        <w:tc>
          <w:tcPr>
            <w:tcW w:w="5640" w:type="dxa"/>
            <w:tcBorders>
              <w:top w:val="nil"/>
              <w:left w:val="nil"/>
              <w:bottom w:val="single" w:sz="8" w:space="0" w:color="auto"/>
              <w:right w:val="single" w:sz="8" w:space="0" w:color="auto"/>
            </w:tcBorders>
            <w:shd w:val="clear" w:color="auto" w:fill="FFFFFF"/>
            <w:vAlign w:val="center"/>
            <w:hideMark/>
          </w:tcPr>
          <w:p w14:paraId="3C994CEB"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Définit les erreurs aléatoires. Définit les erreurs systématiques (biais). Définit et illustre les facteurs de confusion. Classifie et définit les principaux types de biais de sélection. Explique des méthodes qui peuvent être utilisées pour prévenir / réduire / contrôler les biais de sélection. Classifie et définit les principaux types de biais d'observation / information. Explique des méthodes qui peuvent être utilisées pour prévenir / réduire / contrôler le biais d'observation / d'information.</w:t>
            </w:r>
          </w:p>
          <w:p w14:paraId="6028A3FE"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Classifie et définit les principaux types de biais d'analyse. Explique des méthodes qui peuvent être utilisées pour prévenir / réduire / contrôler les biais d'analyse. Explique des méthodes qui peuvent être utilisées pour prévenir / réduire / contrôler les facteurs de confusion. Explique et distingue la précision et l'exactitude des résultats de la recherche. Explique et distingue la validité et </w:t>
            </w:r>
            <w:proofErr w:type="gramStart"/>
            <w:r w:rsidRPr="00E33C1B">
              <w:rPr>
                <w:rFonts w:ascii="Helvetica" w:eastAsia="Times New Roman" w:hAnsi="Helvetica" w:cs="Helvetica"/>
                <w:kern w:val="0"/>
                <w:sz w:val="20"/>
                <w:szCs w:val="20"/>
                <w:lang w:eastAsia="en-GB"/>
                <w14:ligatures w14:val="none"/>
              </w:rPr>
              <w:t>la</w:t>
            </w:r>
            <w:proofErr w:type="gramEnd"/>
            <w:r w:rsidRPr="00E33C1B">
              <w:rPr>
                <w:rFonts w:ascii="Helvetica" w:eastAsia="Times New Roman" w:hAnsi="Helvetica" w:cs="Helvetica"/>
                <w:kern w:val="0"/>
                <w:sz w:val="20"/>
                <w:szCs w:val="20"/>
                <w:lang w:eastAsia="en-GB"/>
                <w14:ligatures w14:val="none"/>
              </w:rPr>
              <w:t xml:space="preserve"> relevance/pertinence des résultats de la recherche. Reconnaît différents types de biais dans des scénarios spécifiques d'études médicales. Explique l'influence des différents types de biais sur les résultats de l'étude dans des scénarios spécifiques d'études médicales. Reconnaît les facteurs de confusion dans des scénarios spécifiques d'études médicales. Explique l'influence des facteurs de confusion sur les résultats de l'étude dans des scénarios spécifiques d'études médicales.</w:t>
            </w:r>
          </w:p>
        </w:tc>
      </w:tr>
      <w:tr w:rsidR="00E33C1B" w:rsidRPr="00E33C1B" w14:paraId="69C9D281"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2B1A89B9"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9</w:t>
            </w:r>
          </w:p>
        </w:tc>
        <w:tc>
          <w:tcPr>
            <w:tcW w:w="2790" w:type="dxa"/>
            <w:tcBorders>
              <w:top w:val="nil"/>
              <w:left w:val="nil"/>
              <w:bottom w:val="single" w:sz="8" w:space="0" w:color="auto"/>
              <w:right w:val="single" w:sz="8" w:space="0" w:color="auto"/>
            </w:tcBorders>
            <w:shd w:val="clear" w:color="auto" w:fill="FFFFFF"/>
            <w:vAlign w:val="center"/>
            <w:hideMark/>
          </w:tcPr>
          <w:p w14:paraId="342244B7"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La médecine fondée sur des preuves/évidences/factuelle (MBE) (EBM)</w:t>
            </w:r>
          </w:p>
        </w:tc>
        <w:tc>
          <w:tcPr>
            <w:tcW w:w="5640" w:type="dxa"/>
            <w:tcBorders>
              <w:top w:val="nil"/>
              <w:left w:val="nil"/>
              <w:bottom w:val="single" w:sz="8" w:space="0" w:color="auto"/>
              <w:right w:val="single" w:sz="8" w:space="0" w:color="auto"/>
            </w:tcBorders>
            <w:shd w:val="clear" w:color="auto" w:fill="FFFFFF"/>
            <w:vAlign w:val="center"/>
            <w:hideMark/>
          </w:tcPr>
          <w:p w14:paraId="21B2F766"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Définit la médecine fondée sur des preuves (EBM) et la recherche fondée sur des preuves. Classifie les types d'études dans la hiérarchie des preuves pour les domaines diagnostique, pronostique, prophylactique et thérapeutique de la recherche. Explique les critères d'évaluation de la validité des études dans les domaines diagnostique, pronostique, prophylactique, thérapeutique. Explique la pertinence des résultats de l'étude dans la pratique médicale et la recherche médicale. Évalue de manière critique les preuves de la littérature sur des exemples concrets d'études médicales (facteurs de risque ou de protection, tests diagnostiques, approches thérapeutiques). Évalue de manière critique les éléments probants tirés </w:t>
            </w:r>
            <w:proofErr w:type="gramStart"/>
            <w:r w:rsidRPr="00E33C1B">
              <w:rPr>
                <w:rFonts w:ascii="Helvetica" w:eastAsia="Times New Roman" w:hAnsi="Helvetica" w:cs="Helvetica"/>
                <w:kern w:val="0"/>
                <w:sz w:val="20"/>
                <w:szCs w:val="20"/>
                <w:lang w:eastAsia="en-GB"/>
                <w14:ligatures w14:val="none"/>
              </w:rPr>
              <w:t>des rapport systématiques</w:t>
            </w:r>
            <w:proofErr w:type="gramEnd"/>
            <w:r w:rsidRPr="00E33C1B">
              <w:rPr>
                <w:rFonts w:ascii="Helvetica" w:eastAsia="Times New Roman" w:hAnsi="Helvetica" w:cs="Helvetica"/>
                <w:kern w:val="0"/>
                <w:sz w:val="20"/>
                <w:szCs w:val="20"/>
                <w:lang w:eastAsia="en-GB"/>
                <w14:ligatures w14:val="none"/>
              </w:rPr>
              <w:t xml:space="preserve"> sur des exemples concrets. Évalue les résultats de recherche dans la littérature (de PubMed) selon le type d'études, selon la hiérarchie des évidences pour chaque domaine de la recherche </w:t>
            </w:r>
            <w:proofErr w:type="gramStart"/>
            <w:r w:rsidRPr="00E33C1B">
              <w:rPr>
                <w:rFonts w:ascii="Helvetica" w:eastAsia="Times New Roman" w:hAnsi="Helvetica" w:cs="Helvetica"/>
                <w:kern w:val="0"/>
                <w:sz w:val="20"/>
                <w:szCs w:val="20"/>
                <w:lang w:eastAsia="en-GB"/>
                <w14:ligatures w14:val="none"/>
              </w:rPr>
              <w:t>clinique:</w:t>
            </w:r>
            <w:proofErr w:type="gramEnd"/>
            <w:r w:rsidRPr="00E33C1B">
              <w:rPr>
                <w:rFonts w:ascii="Helvetica" w:eastAsia="Times New Roman" w:hAnsi="Helvetica" w:cs="Helvetica"/>
                <w:kern w:val="0"/>
                <w:sz w:val="20"/>
                <w:szCs w:val="20"/>
                <w:lang w:eastAsia="en-GB"/>
                <w14:ligatures w14:val="none"/>
              </w:rPr>
              <w:t xml:space="preserve"> pronostic, diagnostic, thérapie. Explique en termes médicaux (pour les pairs) et critique les résultats scientifiques trouvés dans la littérature. Explique en termes simples (pour les patients) les résultats scientifiques trouvés dans la littérature.</w:t>
            </w:r>
          </w:p>
        </w:tc>
      </w:tr>
      <w:tr w:rsidR="00E33C1B" w:rsidRPr="00E33C1B" w14:paraId="6E0C9983"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7E9D7F84"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10</w:t>
            </w:r>
          </w:p>
        </w:tc>
        <w:tc>
          <w:tcPr>
            <w:tcW w:w="2790" w:type="dxa"/>
            <w:tcBorders>
              <w:top w:val="nil"/>
              <w:left w:val="nil"/>
              <w:bottom w:val="single" w:sz="8" w:space="0" w:color="auto"/>
              <w:right w:val="single" w:sz="8" w:space="0" w:color="auto"/>
            </w:tcBorders>
            <w:shd w:val="clear" w:color="auto" w:fill="FFFFFF"/>
            <w:vAlign w:val="center"/>
            <w:hideMark/>
          </w:tcPr>
          <w:p w14:paraId="7B31F74A"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Meta-</w:t>
            </w:r>
            <w:proofErr w:type="spellStart"/>
            <w:r w:rsidRPr="00E33C1B">
              <w:rPr>
                <w:rFonts w:ascii="Helvetica" w:eastAsia="Times New Roman" w:hAnsi="Helvetica" w:cs="Helvetica"/>
                <w:kern w:val="0"/>
                <w:sz w:val="20"/>
                <w:szCs w:val="20"/>
                <w:lang w:eastAsia="en-GB"/>
                <w14:ligatures w14:val="none"/>
              </w:rPr>
              <w:t>analysis</w:t>
            </w:r>
            <w:proofErr w:type="spellEnd"/>
          </w:p>
        </w:tc>
        <w:tc>
          <w:tcPr>
            <w:tcW w:w="5640" w:type="dxa"/>
            <w:tcBorders>
              <w:top w:val="nil"/>
              <w:left w:val="nil"/>
              <w:bottom w:val="single" w:sz="8" w:space="0" w:color="auto"/>
              <w:right w:val="single" w:sz="8" w:space="0" w:color="auto"/>
            </w:tcBorders>
            <w:shd w:val="clear" w:color="auto" w:fill="FFFFFF"/>
            <w:vAlign w:val="center"/>
            <w:hideMark/>
          </w:tcPr>
          <w:p w14:paraId="46E8DA54"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Définit le rapport systématique et la méta-analyse. Explique la méthodologie d'une revue systématique avec ou sans méta-analyse. Explique le problème de la taille de l'effet. Explique la graphique foret. Décide et justifie les indicateurs appropriés pour la méta-analyse des différents types de résultats suivis (dichotomique, quantitative, survie). Interpréter statistiquement un diagramme foret (estimation ponctuelle et intervalle de confiance à 95%). Interprète cliniquement les résultats d'une méta-analyse (estimation ponctuelle et intervalle de confiance à 95%). Évalue la précision et la validité des résultats d'une méta-analyse.</w:t>
            </w:r>
          </w:p>
        </w:tc>
      </w:tr>
      <w:tr w:rsidR="00E33C1B" w:rsidRPr="00E33C1B" w14:paraId="00B71253"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746A1DFD"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lastRenderedPageBreak/>
              <w:t>11</w:t>
            </w:r>
          </w:p>
        </w:tc>
        <w:tc>
          <w:tcPr>
            <w:tcW w:w="2790" w:type="dxa"/>
            <w:tcBorders>
              <w:top w:val="nil"/>
              <w:left w:val="nil"/>
              <w:bottom w:val="single" w:sz="8" w:space="0" w:color="auto"/>
              <w:right w:val="single" w:sz="8" w:space="0" w:color="auto"/>
            </w:tcBorders>
            <w:shd w:val="clear" w:color="auto" w:fill="FFFFFF"/>
            <w:vAlign w:val="center"/>
            <w:hideMark/>
          </w:tcPr>
          <w:p w14:paraId="260D663A"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Choix des méthodes statistiques</w:t>
            </w:r>
          </w:p>
        </w:tc>
        <w:tc>
          <w:tcPr>
            <w:tcW w:w="5640" w:type="dxa"/>
            <w:tcBorders>
              <w:top w:val="nil"/>
              <w:left w:val="nil"/>
              <w:bottom w:val="single" w:sz="8" w:space="0" w:color="auto"/>
              <w:right w:val="single" w:sz="8" w:space="0" w:color="auto"/>
            </w:tcBorders>
            <w:shd w:val="clear" w:color="auto" w:fill="FFFFFF"/>
            <w:vAlign w:val="center"/>
            <w:hideMark/>
          </w:tcPr>
          <w:p w14:paraId="6B178786"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Définit les tests statistiques. Explique les estimations ponctuelles et les intervalles de confiance. Explique les avantages offerts par les intervalles de confiance sur les résultats des tests statistiques. Nomme les facteurs qui déterminent le choix des méthodes statistiques. Formule les hypothèses nulles et alternatives d'un test statistique pour des scénarios spécifiques de la recherche médicale. Identifie des méthodes statistiques appropriées pour comparer des groupes indépendants dans des situations spécifiques de recherche médicale. Identifie les méthodes statistiques appropriées pour la comparaison des groupes dépendants (appariés) dans des situations spécifiques de recherche médicale. Identifie les méthodes statistiques appropriées pour évaluer la relation entre deux ou plusieurs variables pour des situations spécifiques de recherche médicale.</w:t>
            </w:r>
          </w:p>
        </w:tc>
      </w:tr>
      <w:tr w:rsidR="00E33C1B" w:rsidRPr="00E33C1B" w14:paraId="5982DB02"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0A46AA56"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12</w:t>
            </w:r>
          </w:p>
        </w:tc>
        <w:tc>
          <w:tcPr>
            <w:tcW w:w="2790" w:type="dxa"/>
            <w:tcBorders>
              <w:top w:val="nil"/>
              <w:left w:val="nil"/>
              <w:bottom w:val="single" w:sz="8" w:space="0" w:color="auto"/>
              <w:right w:val="single" w:sz="8" w:space="0" w:color="auto"/>
            </w:tcBorders>
            <w:shd w:val="clear" w:color="auto" w:fill="FFFFFF"/>
            <w:vAlign w:val="center"/>
            <w:hideMark/>
          </w:tcPr>
          <w:p w14:paraId="540150DA"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Écriture médicale et communication des résultats de la recherche</w:t>
            </w:r>
          </w:p>
        </w:tc>
        <w:tc>
          <w:tcPr>
            <w:tcW w:w="5640" w:type="dxa"/>
            <w:tcBorders>
              <w:top w:val="nil"/>
              <w:left w:val="nil"/>
              <w:bottom w:val="single" w:sz="8" w:space="0" w:color="auto"/>
              <w:right w:val="single" w:sz="8" w:space="0" w:color="auto"/>
            </w:tcBorders>
            <w:shd w:val="clear" w:color="auto" w:fill="FFFFFF"/>
            <w:vAlign w:val="center"/>
            <w:hideMark/>
          </w:tcPr>
          <w:p w14:paraId="51879598"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proofErr w:type="spellStart"/>
            <w:r w:rsidRPr="00E33C1B">
              <w:rPr>
                <w:rFonts w:ascii="Helvetica" w:eastAsia="Times New Roman" w:hAnsi="Helvetica" w:cs="Helvetica"/>
                <w:kern w:val="0"/>
                <w:sz w:val="20"/>
                <w:szCs w:val="20"/>
                <w:lang w:eastAsia="en-GB"/>
                <w14:ligatures w14:val="none"/>
              </w:rPr>
              <w:t>Enumére</w:t>
            </w:r>
            <w:proofErr w:type="spellEnd"/>
            <w:r w:rsidRPr="00E33C1B">
              <w:rPr>
                <w:rFonts w:ascii="Helvetica" w:eastAsia="Times New Roman" w:hAnsi="Helvetica" w:cs="Helvetica"/>
                <w:kern w:val="0"/>
                <w:sz w:val="20"/>
                <w:szCs w:val="20"/>
                <w:lang w:eastAsia="en-GB"/>
                <w14:ligatures w14:val="none"/>
              </w:rPr>
              <w:t xml:space="preserve"> et décrire les principaux types de publications scientifiques médicales. Énumère et explique les objectifs et les qualités de l'écriture médicale scientifique. Énumère et explique les principes de l'écriture scientifique médicale. Décrit la structure et les chapitres d'une thèse de licence en médecine. Indique et explique le contenu de chaque chapitre d'une thèse de licence en médecine. Décrit la structure et les chapitres d'un article de recherche original en médecine. Indique et explique le contenu de chaque chapitre d'un article de recherche original en médecine. Explique la structure, le contenu et les règles de rédaction d'une communication orale à l'appui de la recherche médicale (article ou thèse de fin d'études). Explique la structure, le contenu et les règles de rédaction d'une présentation d'affiche. Explique et discute les principes éthiques régissant l'écriture médicale scientifique. Évalue de manière critique en termes de structure et de contenu un fragment d'article ou d'article proposé pour la lecture et l'évaluation critique. Choisit le type de graphique approprié pour la présentation des résultats en fonction du type et de la nature de la distribution des données (diagrammes circulaires, diagrammes en colonnes, carrés et moustaches, histogrammes, dispersion, courbes de survie de Kaplan-Meier). Explique et applique les règles de la bonne écriture scientifique des résultats de la recherche sous forme de texte, de tableaux et de graphiques. Produit les diapositives pour une présentation orale d'un article ou d'une thèse selon les règles de l'écriture médicale scientifique.</w:t>
            </w:r>
          </w:p>
        </w:tc>
      </w:tr>
      <w:tr w:rsidR="00E33C1B" w:rsidRPr="00E33C1B" w14:paraId="20C0EBD2"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0C18C00F"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13</w:t>
            </w:r>
          </w:p>
        </w:tc>
        <w:tc>
          <w:tcPr>
            <w:tcW w:w="2790" w:type="dxa"/>
            <w:tcBorders>
              <w:top w:val="nil"/>
              <w:left w:val="nil"/>
              <w:bottom w:val="single" w:sz="8" w:space="0" w:color="auto"/>
              <w:right w:val="single" w:sz="8" w:space="0" w:color="auto"/>
            </w:tcBorders>
            <w:shd w:val="clear" w:color="auto" w:fill="FFFFFF"/>
            <w:vAlign w:val="center"/>
            <w:hideMark/>
          </w:tcPr>
          <w:p w14:paraId="2C8CBB3E"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Éthique de la recherche</w:t>
            </w:r>
          </w:p>
        </w:tc>
        <w:tc>
          <w:tcPr>
            <w:tcW w:w="5640" w:type="dxa"/>
            <w:tcBorders>
              <w:top w:val="nil"/>
              <w:left w:val="nil"/>
              <w:bottom w:val="single" w:sz="8" w:space="0" w:color="auto"/>
              <w:right w:val="single" w:sz="8" w:space="0" w:color="auto"/>
            </w:tcBorders>
            <w:shd w:val="clear" w:color="auto" w:fill="FFFFFF"/>
            <w:vAlign w:val="center"/>
            <w:hideMark/>
          </w:tcPr>
          <w:p w14:paraId="2DF8116A"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Énumère les phases importantes de l'évolution historique de l'éthique de la recherche médicale. Énumère les déclarations importantes de normes éthiques dans la recherche médicale. Énumère la composition et les fonctions d'un comité d'éthique de la recherche médicale (REC). Énumère les principes éthiques qui régissent la recherche médicale. Explique et discute les principes éthiques qui régissent la recherche médicale. Énumère et explique les types de fraudes et d'inconduite dans la recherche médicale et la publication. Répertorie les organismes de réglementation en matière de recherche médicale et d'éthique de la publication et leurs tâches spécifiques. Identifie et explique la nécessité d'appliquer des principes éthiques dans le contexte de différents types d'études médicales concrètes. Spécifie les procédures d'application des principes éthiques dans le cadre de projets concrets de recherche médicale.</w:t>
            </w:r>
          </w:p>
        </w:tc>
      </w:tr>
      <w:tr w:rsidR="00E33C1B" w:rsidRPr="00E33C1B" w14:paraId="0611628A" w14:textId="77777777" w:rsidTr="009434DD">
        <w:tc>
          <w:tcPr>
            <w:tcW w:w="855" w:type="dxa"/>
            <w:tcBorders>
              <w:top w:val="nil"/>
              <w:left w:val="single" w:sz="8" w:space="0" w:color="auto"/>
              <w:bottom w:val="single" w:sz="8" w:space="0" w:color="auto"/>
              <w:right w:val="single" w:sz="8" w:space="0" w:color="auto"/>
            </w:tcBorders>
            <w:shd w:val="clear" w:color="auto" w:fill="FFFFFF"/>
            <w:vAlign w:val="center"/>
            <w:hideMark/>
          </w:tcPr>
          <w:p w14:paraId="2423A8BD"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14</w:t>
            </w:r>
          </w:p>
        </w:tc>
        <w:tc>
          <w:tcPr>
            <w:tcW w:w="2790" w:type="dxa"/>
            <w:tcBorders>
              <w:top w:val="nil"/>
              <w:left w:val="nil"/>
              <w:bottom w:val="single" w:sz="8" w:space="0" w:color="auto"/>
              <w:right w:val="single" w:sz="8" w:space="0" w:color="auto"/>
            </w:tcBorders>
            <w:shd w:val="clear" w:color="auto" w:fill="FFFFFF"/>
            <w:vAlign w:val="center"/>
            <w:hideMark/>
          </w:tcPr>
          <w:p w14:paraId="070D1F26" w14:textId="77777777" w:rsidR="00E33C1B" w:rsidRPr="00E33C1B" w:rsidRDefault="00E33C1B" w:rsidP="009434DD">
            <w:pPr>
              <w:spacing w:before="100" w:beforeAutospacing="1" w:after="100" w:afterAutospacing="1" w:line="240" w:lineRule="auto"/>
              <w:jc w:val="center"/>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Modélisation et simulation en recherche médicale</w:t>
            </w:r>
          </w:p>
        </w:tc>
        <w:tc>
          <w:tcPr>
            <w:tcW w:w="5640" w:type="dxa"/>
            <w:tcBorders>
              <w:top w:val="nil"/>
              <w:left w:val="nil"/>
              <w:bottom w:val="single" w:sz="8" w:space="0" w:color="auto"/>
              <w:right w:val="single" w:sz="8" w:space="0" w:color="auto"/>
            </w:tcBorders>
            <w:shd w:val="clear" w:color="auto" w:fill="FFFFFF"/>
            <w:vAlign w:val="center"/>
            <w:hideMark/>
          </w:tcPr>
          <w:p w14:paraId="1D70A908" w14:textId="77777777" w:rsidR="00E33C1B" w:rsidRPr="00E33C1B" w:rsidRDefault="00E33C1B" w:rsidP="009434DD">
            <w:pPr>
              <w:spacing w:before="100" w:beforeAutospacing="1" w:after="100" w:afterAutospacing="1" w:line="240" w:lineRule="auto"/>
              <w:rPr>
                <w:rFonts w:ascii="Helvetica" w:eastAsia="Times New Roman" w:hAnsi="Helvetica" w:cs="Helvetica"/>
                <w:kern w:val="0"/>
                <w:lang w:eastAsia="en-GB"/>
                <w14:ligatures w14:val="none"/>
              </w:rPr>
            </w:pPr>
            <w:r w:rsidRPr="00E33C1B">
              <w:rPr>
                <w:rFonts w:ascii="Helvetica" w:eastAsia="Times New Roman" w:hAnsi="Helvetica" w:cs="Helvetica"/>
                <w:kern w:val="0"/>
                <w:sz w:val="20"/>
                <w:szCs w:val="20"/>
                <w:lang w:eastAsia="en-GB"/>
                <w14:ligatures w14:val="none"/>
              </w:rPr>
              <w:t xml:space="preserve">Définit la modélisation et la simulation dans la recherche et explique leur but. Enumère et illustre les types des modèles </w:t>
            </w:r>
            <w:r w:rsidRPr="00E33C1B">
              <w:rPr>
                <w:rFonts w:ascii="Helvetica" w:eastAsia="Times New Roman" w:hAnsi="Helvetica" w:cs="Helvetica"/>
                <w:kern w:val="0"/>
                <w:sz w:val="20"/>
                <w:szCs w:val="20"/>
                <w:lang w:eastAsia="en-GB"/>
                <w14:ligatures w14:val="none"/>
              </w:rPr>
              <w:lastRenderedPageBreak/>
              <w:t>utiles dans la recherche médicale (mentale / physique / biologique / mathématique, continue / discrète, déterministe / stochastique). Enumère et explique les étapes de développement d'un modèle mathématique. Enumère et explique les types de simulation d'un modèle mathématique. Exemples de modèles et de simulations dans divers domaines de la recherche médicale. Évalue la corrélation entre les variables quantitatives à l'aide des coefficients de corrélation et des diagrammes de dispersion. Explique et interprète les modèles par des régressions linéaires simples et multiples.</w:t>
            </w:r>
          </w:p>
        </w:tc>
      </w:tr>
    </w:tbl>
    <w:p w14:paraId="699937D5" w14:textId="77777777" w:rsidR="00216C6C" w:rsidRPr="00E33C1B" w:rsidRDefault="00216C6C" w:rsidP="00CD455A">
      <w:pPr>
        <w:shd w:val="clear" w:color="auto" w:fill="FFFFFF"/>
        <w:spacing w:after="0" w:line="240" w:lineRule="atLeast"/>
        <w:rPr>
          <w:rFonts w:ascii="Helvetica" w:eastAsia="Times New Roman" w:hAnsi="Helvetica" w:cs="Helvetica"/>
          <w:b/>
          <w:bCs/>
          <w:kern w:val="0"/>
          <w:lang w:eastAsia="en-GB"/>
          <w14:ligatures w14:val="none"/>
        </w:rPr>
      </w:pPr>
    </w:p>
    <w:p w14:paraId="1BF20AE8" w14:textId="3B8E9FE7" w:rsidR="00CD455A" w:rsidRPr="00E33C1B"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E33C1B">
        <w:rPr>
          <w:rFonts w:ascii="Cambria" w:eastAsia="Times New Roman" w:hAnsi="Cambria" w:cs="Helvetica"/>
          <w:b/>
          <w:bCs/>
          <w:kern w:val="0"/>
          <w:sz w:val="20"/>
          <w:szCs w:val="20"/>
          <w:lang w:eastAsia="en-GB"/>
          <w14:ligatures w14:val="none"/>
        </w:rPr>
        <w:t>Validation des examens et bonus</w:t>
      </w:r>
    </w:p>
    <w:p w14:paraId="2F9922D3" w14:textId="5732B9E9" w:rsidR="00CD455A" w:rsidRPr="00E33C1B"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 xml:space="preserve">Pour valider l'examen, les notes obtenues dans </w:t>
      </w:r>
      <w:r w:rsidR="00A420E6" w:rsidRPr="00E33C1B">
        <w:rPr>
          <w:rFonts w:ascii="Cambria" w:eastAsia="Times New Roman" w:hAnsi="Cambria" w:cs="Helvetica"/>
          <w:kern w:val="0"/>
          <w:sz w:val="20"/>
          <w:szCs w:val="20"/>
          <w:lang w:eastAsia="en-GB"/>
          <w14:ligatures w14:val="none"/>
        </w:rPr>
        <w:t xml:space="preserve">les </w:t>
      </w:r>
      <w:r w:rsidR="00C436C7" w:rsidRPr="00E33C1B">
        <w:rPr>
          <w:rFonts w:ascii="Cambria" w:eastAsia="Times New Roman" w:hAnsi="Cambria" w:cs="Helvetica"/>
          <w:kern w:val="0"/>
          <w:sz w:val="20"/>
          <w:szCs w:val="20"/>
          <w:lang w:eastAsia="en-GB"/>
          <w14:ligatures w14:val="none"/>
        </w:rPr>
        <w:t>épreuves</w:t>
      </w:r>
      <w:r w:rsidRPr="00E33C1B">
        <w:rPr>
          <w:rFonts w:ascii="Cambria" w:eastAsia="Times New Roman" w:hAnsi="Cambria" w:cs="Helvetica"/>
          <w:kern w:val="0"/>
          <w:sz w:val="20"/>
          <w:szCs w:val="20"/>
          <w:lang w:eastAsia="en-GB"/>
          <w14:ligatures w14:val="none"/>
        </w:rPr>
        <w:t xml:space="preserve"> théoriques et pratiques doivent être supérieures ou au moins égales à 5.</w:t>
      </w:r>
    </w:p>
    <w:p w14:paraId="20D9C981" w14:textId="1C002F2A" w:rsidR="00CD455A" w:rsidRPr="00E33C1B"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L'</w:t>
      </w:r>
      <w:r w:rsidR="00A420E6" w:rsidRPr="00E33C1B">
        <w:rPr>
          <w:rFonts w:ascii="Cambria" w:eastAsia="Times New Roman" w:hAnsi="Cambria" w:cs="Helvetica"/>
          <w:kern w:val="0"/>
          <w:sz w:val="20"/>
          <w:szCs w:val="20"/>
          <w:lang w:eastAsia="en-GB"/>
          <w14:ligatures w14:val="none"/>
        </w:rPr>
        <w:t>épreuve</w:t>
      </w:r>
      <w:r w:rsidRPr="00E33C1B">
        <w:rPr>
          <w:rFonts w:ascii="Cambria" w:eastAsia="Times New Roman" w:hAnsi="Cambria" w:cs="Helvetica"/>
          <w:kern w:val="0"/>
          <w:sz w:val="20"/>
          <w:szCs w:val="20"/>
          <w:lang w:eastAsia="en-GB"/>
          <w14:ligatures w14:val="none"/>
        </w:rPr>
        <w:t xml:space="preserve"> pratique a un poids de 30% dans le calcul de la note finale. </w:t>
      </w:r>
    </w:p>
    <w:p w14:paraId="5E140CF6" w14:textId="10FEB274" w:rsidR="00CD455A" w:rsidRPr="00E33C1B"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 xml:space="preserve">Pendant les deux </w:t>
      </w:r>
      <w:r w:rsidR="00564607" w:rsidRPr="00E33C1B">
        <w:rPr>
          <w:rFonts w:ascii="Cambria" w:eastAsia="Times New Roman" w:hAnsi="Cambria" w:cs="Helvetica"/>
          <w:kern w:val="0"/>
          <w:sz w:val="20"/>
          <w:szCs w:val="20"/>
          <w:lang w:eastAsia="en-GB"/>
          <w14:ligatures w14:val="none"/>
        </w:rPr>
        <w:t>épreuves</w:t>
      </w:r>
      <w:r w:rsidRPr="00E33C1B">
        <w:rPr>
          <w:rFonts w:ascii="Cambria" w:eastAsia="Times New Roman" w:hAnsi="Cambria" w:cs="Helvetica"/>
          <w:kern w:val="0"/>
          <w:sz w:val="20"/>
          <w:szCs w:val="20"/>
          <w:lang w:eastAsia="en-GB"/>
          <w14:ligatures w14:val="none"/>
        </w:rPr>
        <w:t>, les étudiants sont autorisés à consulter un carnet personnel avec des notes manuscrites et des diagrammes. Toutefois, des questions ou des questionnaires d'exemple des années précédentes, des documents imprimés ou copiés, ainsi que des livres, NE sont PAS autorisés et seront considérés comme des cas de fraude à l'examen.</w:t>
      </w:r>
    </w:p>
    <w:p w14:paraId="424234ED" w14:textId="77777777" w:rsidR="00CD455A" w:rsidRPr="00E33C1B"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Le test à choix multiple contient 40 questions à résoudre en 80 minutes. Le test sera marqué sur 40 points, avec un score de passage d'au moins 18 points.</w:t>
      </w:r>
    </w:p>
    <w:p w14:paraId="00F52FBC" w14:textId="0F4C9088" w:rsidR="00CD455A" w:rsidRPr="00E33C1B" w:rsidRDefault="00CD455A" w:rsidP="00A420E6">
      <w:pPr>
        <w:pStyle w:val="ListParagraph"/>
        <w:numPr>
          <w:ilvl w:val="0"/>
          <w:numId w:val="5"/>
        </w:numPr>
        <w:shd w:val="clear" w:color="auto" w:fill="FFFFFF"/>
        <w:spacing w:after="0" w:line="240" w:lineRule="atLeast"/>
        <w:jc w:val="both"/>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Un maximum de 0,</w:t>
      </w:r>
      <w:r w:rsidR="00C436C7" w:rsidRPr="00E33C1B">
        <w:rPr>
          <w:rFonts w:ascii="Cambria" w:eastAsia="Times New Roman" w:hAnsi="Cambria" w:cs="Helvetica"/>
          <w:kern w:val="0"/>
          <w:sz w:val="20"/>
          <w:szCs w:val="20"/>
          <w:lang w:eastAsia="en-GB"/>
          <w14:ligatures w14:val="none"/>
        </w:rPr>
        <w:t>60</w:t>
      </w:r>
      <w:r w:rsidRPr="00E33C1B">
        <w:rPr>
          <w:rFonts w:ascii="Cambria" w:eastAsia="Times New Roman" w:hAnsi="Cambria" w:cs="Helvetica"/>
          <w:kern w:val="0"/>
          <w:sz w:val="20"/>
          <w:szCs w:val="20"/>
          <w:lang w:eastAsia="en-GB"/>
          <w14:ligatures w14:val="none"/>
        </w:rPr>
        <w:t xml:space="preserve"> points de bonus peu</w:t>
      </w:r>
      <w:r w:rsidR="00C436C7" w:rsidRPr="00E33C1B">
        <w:rPr>
          <w:rFonts w:ascii="Cambria" w:eastAsia="Times New Roman" w:hAnsi="Cambria" w:cs="Helvetica"/>
          <w:kern w:val="0"/>
          <w:sz w:val="20"/>
          <w:szCs w:val="20"/>
          <w:lang w:eastAsia="en-GB"/>
          <w14:ligatures w14:val="none"/>
        </w:rPr>
        <w:t>vent</w:t>
      </w:r>
      <w:r w:rsidRPr="00E33C1B">
        <w:rPr>
          <w:rFonts w:ascii="Cambria" w:eastAsia="Times New Roman" w:hAnsi="Cambria" w:cs="Helvetica"/>
          <w:kern w:val="0"/>
          <w:sz w:val="20"/>
          <w:szCs w:val="20"/>
          <w:lang w:eastAsia="en-GB"/>
          <w14:ligatures w14:val="none"/>
        </w:rPr>
        <w:t xml:space="preserve"> être attribué pour </w:t>
      </w:r>
      <w:r w:rsidR="00C436C7" w:rsidRPr="00E33C1B">
        <w:rPr>
          <w:rFonts w:ascii="Cambria" w:eastAsia="Times New Roman" w:hAnsi="Cambria" w:cs="Helvetica"/>
          <w:kern w:val="0"/>
          <w:sz w:val="20"/>
          <w:szCs w:val="20"/>
          <w:lang w:eastAsia="en-GB"/>
          <w14:ligatures w14:val="none"/>
        </w:rPr>
        <w:t>les trois devoirs théoriques optionnels.</w:t>
      </w:r>
      <w:r w:rsidRPr="00E33C1B">
        <w:rPr>
          <w:rFonts w:ascii="Cambria" w:eastAsia="Times New Roman" w:hAnsi="Cambria" w:cs="Helvetica"/>
          <w:kern w:val="0"/>
          <w:sz w:val="20"/>
          <w:szCs w:val="20"/>
          <w:lang w:eastAsia="en-GB"/>
          <w14:ligatures w14:val="none"/>
        </w:rPr>
        <w:t xml:space="preserve"> Ces points peuvent être ajoutés au score final de l'</w:t>
      </w:r>
      <w:r w:rsidR="00C436C7" w:rsidRPr="00E33C1B">
        <w:rPr>
          <w:rFonts w:ascii="Cambria" w:eastAsia="Times New Roman" w:hAnsi="Cambria" w:cs="Helvetica"/>
          <w:kern w:val="0"/>
          <w:sz w:val="20"/>
          <w:szCs w:val="20"/>
          <w:lang w:eastAsia="en-GB"/>
          <w14:ligatures w14:val="none"/>
        </w:rPr>
        <w:t>épreuve</w:t>
      </w:r>
      <w:r w:rsidRPr="00E33C1B">
        <w:rPr>
          <w:rFonts w:ascii="Cambria" w:eastAsia="Times New Roman" w:hAnsi="Cambria" w:cs="Helvetica"/>
          <w:kern w:val="0"/>
          <w:sz w:val="20"/>
          <w:szCs w:val="20"/>
          <w:lang w:eastAsia="en-GB"/>
          <w14:ligatures w14:val="none"/>
        </w:rPr>
        <w:t xml:space="preserve"> écrit, si le score est inférieur à 40</w:t>
      </w:r>
      <w:r w:rsidR="00C436C7" w:rsidRPr="00E33C1B">
        <w:rPr>
          <w:rFonts w:ascii="Cambria" w:eastAsia="Times New Roman" w:hAnsi="Cambria" w:cs="Helvetica"/>
          <w:kern w:val="0"/>
          <w:sz w:val="20"/>
          <w:szCs w:val="20"/>
          <w:lang w:eastAsia="en-GB"/>
          <w14:ligatures w14:val="none"/>
        </w:rPr>
        <w:t xml:space="preserve"> points et supérieur a 18 points</w:t>
      </w:r>
      <w:r w:rsidRPr="00E33C1B">
        <w:rPr>
          <w:rFonts w:ascii="Cambria" w:eastAsia="Times New Roman" w:hAnsi="Cambria" w:cs="Helvetica"/>
          <w:kern w:val="0"/>
          <w:sz w:val="20"/>
          <w:szCs w:val="20"/>
          <w:lang w:eastAsia="en-GB"/>
          <w14:ligatures w14:val="none"/>
        </w:rPr>
        <w:t>.</w:t>
      </w:r>
    </w:p>
    <w:p w14:paraId="56D797F2" w14:textId="77777777" w:rsidR="00C436C7" w:rsidRPr="00E33C1B" w:rsidRDefault="00C436C7" w:rsidP="00CD455A">
      <w:pPr>
        <w:shd w:val="clear" w:color="auto" w:fill="FFFFFF"/>
        <w:spacing w:after="0" w:line="240" w:lineRule="atLeast"/>
        <w:rPr>
          <w:rFonts w:ascii="Cambria" w:eastAsia="Times New Roman" w:hAnsi="Cambria" w:cs="Helvetica"/>
          <w:b/>
          <w:bCs/>
          <w:kern w:val="0"/>
          <w:sz w:val="20"/>
          <w:szCs w:val="20"/>
          <w:lang w:eastAsia="en-GB"/>
          <w14:ligatures w14:val="none"/>
        </w:rPr>
      </w:pPr>
    </w:p>
    <w:p w14:paraId="5934E549" w14:textId="41549957" w:rsidR="00CD455A" w:rsidRPr="00E33C1B"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E33C1B">
        <w:rPr>
          <w:rFonts w:ascii="Cambria" w:eastAsia="Times New Roman" w:hAnsi="Cambria" w:cs="Helvetica"/>
          <w:b/>
          <w:bCs/>
          <w:kern w:val="0"/>
          <w:sz w:val="20"/>
          <w:szCs w:val="20"/>
          <w:lang w:eastAsia="en-GB"/>
          <w14:ligatures w14:val="none"/>
        </w:rPr>
        <w:t>Méthode de correction</w:t>
      </w:r>
      <w:r w:rsidR="00C436C7" w:rsidRPr="00E33C1B">
        <w:rPr>
          <w:rFonts w:ascii="Cambria" w:eastAsia="Times New Roman" w:hAnsi="Cambria" w:cs="Helvetica"/>
          <w:b/>
          <w:bCs/>
          <w:kern w:val="0"/>
          <w:sz w:val="20"/>
          <w:szCs w:val="20"/>
          <w:lang w:eastAsia="en-GB"/>
          <w14:ligatures w14:val="none"/>
        </w:rPr>
        <w:t xml:space="preserve"> pour l’épreuve </w:t>
      </w:r>
      <w:proofErr w:type="spellStart"/>
      <w:proofErr w:type="gramStart"/>
      <w:r w:rsidR="00C436C7" w:rsidRPr="00E33C1B">
        <w:rPr>
          <w:rFonts w:ascii="Cambria" w:eastAsia="Times New Roman" w:hAnsi="Cambria" w:cs="Helvetica"/>
          <w:b/>
          <w:bCs/>
          <w:kern w:val="0"/>
          <w:sz w:val="20"/>
          <w:szCs w:val="20"/>
          <w:lang w:eastAsia="en-GB"/>
          <w14:ligatures w14:val="none"/>
        </w:rPr>
        <w:t>theorique</w:t>
      </w:r>
      <w:proofErr w:type="spellEnd"/>
      <w:r w:rsidRPr="00E33C1B">
        <w:rPr>
          <w:rFonts w:ascii="Cambria" w:eastAsia="Times New Roman" w:hAnsi="Cambria" w:cs="Helvetica"/>
          <w:b/>
          <w:bCs/>
          <w:kern w:val="0"/>
          <w:sz w:val="20"/>
          <w:szCs w:val="20"/>
          <w:lang w:eastAsia="en-GB"/>
          <w14:ligatures w14:val="none"/>
        </w:rPr>
        <w:t>:</w:t>
      </w:r>
      <w:proofErr w:type="gramEnd"/>
    </w:p>
    <w:p w14:paraId="5D4CFEE1" w14:textId="77777777" w:rsidR="00CD455A" w:rsidRPr="00E33C1B"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 xml:space="preserve">Question avec une bonne </w:t>
      </w:r>
      <w:proofErr w:type="gramStart"/>
      <w:r w:rsidRPr="00E33C1B">
        <w:rPr>
          <w:rFonts w:ascii="Cambria" w:eastAsia="Times New Roman" w:hAnsi="Cambria" w:cs="Helvetica"/>
          <w:kern w:val="0"/>
          <w:sz w:val="20"/>
          <w:szCs w:val="20"/>
          <w:lang w:eastAsia="en-GB"/>
          <w14:ligatures w14:val="none"/>
        </w:rPr>
        <w:t>réponse:</w:t>
      </w:r>
      <w:proofErr w:type="gramEnd"/>
    </w:p>
    <w:p w14:paraId="6DDAEF7A"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5 concordances = 1 point</w:t>
      </w:r>
    </w:p>
    <w:p w14:paraId="03221130"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E33C1B">
        <w:rPr>
          <w:rFonts w:ascii="Cambria" w:eastAsia="Times New Roman" w:hAnsi="Cambria" w:cs="Helvetica"/>
          <w:kern w:val="0"/>
          <w:sz w:val="20"/>
          <w:szCs w:val="20"/>
          <w:lang w:eastAsia="en-GB"/>
          <w14:ligatures w14:val="none"/>
        </w:rPr>
        <w:t>moins</w:t>
      </w:r>
      <w:proofErr w:type="gramEnd"/>
      <w:r w:rsidRPr="00E33C1B">
        <w:rPr>
          <w:rFonts w:ascii="Cambria" w:eastAsia="Times New Roman" w:hAnsi="Cambria" w:cs="Helvetica"/>
          <w:kern w:val="0"/>
          <w:sz w:val="20"/>
          <w:szCs w:val="20"/>
          <w:lang w:eastAsia="en-GB"/>
          <w14:ligatures w14:val="none"/>
        </w:rPr>
        <w:t xml:space="preserve"> de 5 concordances = 0 points</w:t>
      </w:r>
    </w:p>
    <w:p w14:paraId="4CFA0746" w14:textId="77777777" w:rsidR="00CD455A" w:rsidRPr="00E33C1B"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 xml:space="preserve">Question avec 2 réponses </w:t>
      </w:r>
      <w:proofErr w:type="gramStart"/>
      <w:r w:rsidRPr="00E33C1B">
        <w:rPr>
          <w:rFonts w:ascii="Cambria" w:eastAsia="Times New Roman" w:hAnsi="Cambria" w:cs="Helvetica"/>
          <w:kern w:val="0"/>
          <w:sz w:val="20"/>
          <w:szCs w:val="20"/>
          <w:lang w:eastAsia="en-GB"/>
          <w14:ligatures w14:val="none"/>
        </w:rPr>
        <w:t>correctes:</w:t>
      </w:r>
      <w:proofErr w:type="gramEnd"/>
    </w:p>
    <w:p w14:paraId="2EF5E20C"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5 concordances = 1 point</w:t>
      </w:r>
    </w:p>
    <w:p w14:paraId="29EDBA22"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4 concordances = 0,8 points</w:t>
      </w:r>
    </w:p>
    <w:p w14:paraId="200A60AD"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E33C1B">
        <w:rPr>
          <w:rFonts w:ascii="Cambria" w:eastAsia="Times New Roman" w:hAnsi="Cambria" w:cs="Helvetica"/>
          <w:kern w:val="0"/>
          <w:sz w:val="20"/>
          <w:szCs w:val="20"/>
          <w:lang w:eastAsia="en-GB"/>
          <w14:ligatures w14:val="none"/>
        </w:rPr>
        <w:t>moins</w:t>
      </w:r>
      <w:proofErr w:type="gramEnd"/>
      <w:r w:rsidRPr="00E33C1B">
        <w:rPr>
          <w:rFonts w:ascii="Cambria" w:eastAsia="Times New Roman" w:hAnsi="Cambria" w:cs="Helvetica"/>
          <w:kern w:val="0"/>
          <w:sz w:val="20"/>
          <w:szCs w:val="20"/>
          <w:lang w:eastAsia="en-GB"/>
          <w14:ligatures w14:val="none"/>
        </w:rPr>
        <w:t xml:space="preserve"> de 4 concordances = 0 points</w:t>
      </w:r>
    </w:p>
    <w:p w14:paraId="492B9AC6" w14:textId="77777777" w:rsidR="00CD455A" w:rsidRPr="00E33C1B" w:rsidRDefault="00CD455A" w:rsidP="00CD455A">
      <w:pPr>
        <w:numPr>
          <w:ilvl w:val="0"/>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 xml:space="preserve">Question avec 3 réponses correctes ou </w:t>
      </w:r>
      <w:proofErr w:type="gramStart"/>
      <w:r w:rsidRPr="00E33C1B">
        <w:rPr>
          <w:rFonts w:ascii="Cambria" w:eastAsia="Times New Roman" w:hAnsi="Cambria" w:cs="Helvetica"/>
          <w:kern w:val="0"/>
          <w:sz w:val="20"/>
          <w:szCs w:val="20"/>
          <w:lang w:eastAsia="en-GB"/>
          <w14:ligatures w14:val="none"/>
        </w:rPr>
        <w:t>plus:</w:t>
      </w:r>
      <w:proofErr w:type="gramEnd"/>
    </w:p>
    <w:p w14:paraId="28DD742D"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5 concordances = 1 point</w:t>
      </w:r>
    </w:p>
    <w:p w14:paraId="52BE9872"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4 concordances = 0,8 points</w:t>
      </w:r>
    </w:p>
    <w:p w14:paraId="74EB2CCB"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r w:rsidRPr="00E33C1B">
        <w:rPr>
          <w:rFonts w:ascii="Cambria" w:eastAsia="Times New Roman" w:hAnsi="Cambria" w:cs="Helvetica"/>
          <w:kern w:val="0"/>
          <w:sz w:val="20"/>
          <w:szCs w:val="20"/>
          <w:lang w:eastAsia="en-GB"/>
          <w14:ligatures w14:val="none"/>
        </w:rPr>
        <w:t>3 concordances = 0,5 point</w:t>
      </w:r>
    </w:p>
    <w:p w14:paraId="7D2270B6" w14:textId="77777777" w:rsidR="00CD455A" w:rsidRPr="00E33C1B" w:rsidRDefault="00CD455A" w:rsidP="00CD455A">
      <w:pPr>
        <w:numPr>
          <w:ilvl w:val="1"/>
          <w:numId w:val="1"/>
        </w:numPr>
        <w:shd w:val="clear" w:color="auto" w:fill="FFFFFF"/>
        <w:spacing w:before="100" w:beforeAutospacing="1" w:after="100" w:afterAutospacing="1" w:line="240" w:lineRule="auto"/>
        <w:rPr>
          <w:rFonts w:ascii="Cambria" w:eastAsia="Times New Roman" w:hAnsi="Cambria" w:cs="Helvetica"/>
          <w:kern w:val="0"/>
          <w:sz w:val="20"/>
          <w:szCs w:val="20"/>
          <w:lang w:eastAsia="en-GB"/>
          <w14:ligatures w14:val="none"/>
        </w:rPr>
      </w:pPr>
      <w:proofErr w:type="gramStart"/>
      <w:r w:rsidRPr="00E33C1B">
        <w:rPr>
          <w:rFonts w:ascii="Cambria" w:eastAsia="Times New Roman" w:hAnsi="Cambria" w:cs="Helvetica"/>
          <w:kern w:val="0"/>
          <w:sz w:val="20"/>
          <w:szCs w:val="20"/>
          <w:lang w:eastAsia="en-GB"/>
          <w14:ligatures w14:val="none"/>
        </w:rPr>
        <w:t>moins</w:t>
      </w:r>
      <w:proofErr w:type="gramEnd"/>
      <w:r w:rsidRPr="00E33C1B">
        <w:rPr>
          <w:rFonts w:ascii="Cambria" w:eastAsia="Times New Roman" w:hAnsi="Cambria" w:cs="Helvetica"/>
          <w:kern w:val="0"/>
          <w:sz w:val="20"/>
          <w:szCs w:val="20"/>
          <w:lang w:eastAsia="en-GB"/>
          <w14:ligatures w14:val="none"/>
        </w:rPr>
        <w:t xml:space="preserve"> de 3 concordances = 0 points</w:t>
      </w:r>
    </w:p>
    <w:p w14:paraId="2D4AF7D2" w14:textId="77777777" w:rsidR="00CD455A" w:rsidRPr="00E33C1B" w:rsidRDefault="00CD455A" w:rsidP="00CD455A">
      <w:pPr>
        <w:shd w:val="clear" w:color="auto" w:fill="FFFFFF"/>
        <w:spacing w:after="0" w:line="240" w:lineRule="atLeast"/>
        <w:rPr>
          <w:rFonts w:ascii="Cambria" w:eastAsia="Times New Roman" w:hAnsi="Cambria" w:cs="Helvetica"/>
          <w:kern w:val="0"/>
          <w:sz w:val="20"/>
          <w:szCs w:val="20"/>
          <w:lang w:eastAsia="en-GB"/>
          <w14:ligatures w14:val="none"/>
        </w:rPr>
      </w:pPr>
      <w:r w:rsidRPr="00E33C1B">
        <w:rPr>
          <w:rFonts w:ascii="Cambria" w:eastAsia="Times New Roman" w:hAnsi="Cambria" w:cs="Helvetica"/>
          <w:b/>
          <w:bCs/>
          <w:kern w:val="0"/>
          <w:sz w:val="20"/>
          <w:szCs w:val="20"/>
          <w:lang w:eastAsia="en-GB"/>
          <w14:ligatures w14:val="none"/>
        </w:rPr>
        <w:t>Bibliographie</w:t>
      </w:r>
    </w:p>
    <w:p w14:paraId="1D9FBB76" w14:textId="3893C99E" w:rsidR="00564607" w:rsidRPr="00E33C1B" w:rsidRDefault="00CD455A" w:rsidP="008102DD">
      <w:pPr>
        <w:numPr>
          <w:ilvl w:val="0"/>
          <w:numId w:val="2"/>
        </w:numPr>
        <w:shd w:val="clear" w:color="auto" w:fill="FFFFFF"/>
        <w:spacing w:before="100" w:beforeAutospacing="1" w:after="0" w:line="240" w:lineRule="atLeast"/>
        <w:rPr>
          <w:rFonts w:ascii="Cambria" w:hAnsi="Cambria"/>
          <w:sz w:val="20"/>
          <w:szCs w:val="20"/>
        </w:rPr>
      </w:pPr>
      <w:r w:rsidRPr="00E33C1B">
        <w:rPr>
          <w:rFonts w:ascii="Cambria" w:eastAsia="Times New Roman" w:hAnsi="Cambria" w:cs="Helvetica"/>
          <w:kern w:val="0"/>
          <w:sz w:val="20"/>
          <w:szCs w:val="20"/>
          <w:lang w:eastAsia="en-GB"/>
          <w14:ligatures w14:val="none"/>
        </w:rPr>
        <w:t xml:space="preserve">Présentations de </w:t>
      </w:r>
      <w:r w:rsidRPr="00E33C1B">
        <w:rPr>
          <w:rFonts w:ascii="Cambria" w:eastAsia="Times New Roman" w:hAnsi="Cambria" w:cs="Helvetica"/>
          <w:b/>
          <w:bCs/>
          <w:kern w:val="0"/>
          <w:sz w:val="20"/>
          <w:szCs w:val="20"/>
          <w:lang w:eastAsia="en-GB"/>
          <w14:ligatures w14:val="none"/>
        </w:rPr>
        <w:t>cours</w:t>
      </w:r>
      <w:r w:rsidRPr="00E33C1B">
        <w:rPr>
          <w:rFonts w:ascii="Cambria" w:eastAsia="Times New Roman" w:hAnsi="Cambria" w:cs="Helvetica"/>
          <w:kern w:val="0"/>
          <w:sz w:val="20"/>
          <w:szCs w:val="20"/>
          <w:lang w:eastAsia="en-GB"/>
          <w14:ligatures w14:val="none"/>
        </w:rPr>
        <w:t xml:space="preserve"> en ligne et </w:t>
      </w:r>
      <w:r w:rsidRPr="00E33C1B">
        <w:rPr>
          <w:rFonts w:ascii="Cambria" w:eastAsia="Times New Roman" w:hAnsi="Cambria" w:cs="Helvetica"/>
          <w:b/>
          <w:bCs/>
          <w:kern w:val="0"/>
          <w:sz w:val="20"/>
          <w:szCs w:val="20"/>
          <w:lang w:eastAsia="en-GB"/>
          <w14:ligatures w14:val="none"/>
        </w:rPr>
        <w:t>activités pratiques</w:t>
      </w:r>
      <w:r w:rsidRPr="00E33C1B">
        <w:rPr>
          <w:rFonts w:ascii="Cambria" w:eastAsia="Times New Roman" w:hAnsi="Cambria" w:cs="Helvetica"/>
          <w:kern w:val="0"/>
          <w:sz w:val="20"/>
          <w:szCs w:val="20"/>
          <w:lang w:eastAsia="en-GB"/>
          <w14:ligatures w14:val="none"/>
        </w:rPr>
        <w:t xml:space="preserve"> en </w:t>
      </w:r>
      <w:proofErr w:type="gramStart"/>
      <w:r w:rsidRPr="00E33C1B">
        <w:rPr>
          <w:rFonts w:ascii="Cambria" w:eastAsia="Times New Roman" w:hAnsi="Cambria" w:cs="Helvetica"/>
          <w:kern w:val="0"/>
          <w:sz w:val="20"/>
          <w:szCs w:val="20"/>
          <w:lang w:eastAsia="en-GB"/>
          <w14:ligatures w14:val="none"/>
        </w:rPr>
        <w:t>ligne:</w:t>
      </w:r>
      <w:proofErr w:type="gramEnd"/>
      <w:r w:rsidRPr="00E33C1B">
        <w:rPr>
          <w:rFonts w:ascii="Cambria" w:eastAsia="Times New Roman" w:hAnsi="Cambria" w:cs="Helvetica"/>
          <w:kern w:val="0"/>
          <w:sz w:val="20"/>
          <w:szCs w:val="20"/>
          <w:lang w:eastAsia="en-GB"/>
          <w14:ligatures w14:val="none"/>
        </w:rPr>
        <w:t xml:space="preserve"> </w:t>
      </w:r>
      <w:hyperlink r:id="rId5" w:history="1">
        <w:r w:rsidR="00E33C1B" w:rsidRPr="00237879">
          <w:rPr>
            <w:rStyle w:val="Hyperlink"/>
            <w:sz w:val="20"/>
            <w:szCs w:val="20"/>
          </w:rPr>
          <w:t>https://www.info.umfcluj.ro/index.php/fr/educatie-fr/mcs-fr/mg2fr</w:t>
        </w:r>
      </w:hyperlink>
    </w:p>
    <w:p w14:paraId="2D5B0D8A" w14:textId="4031FDBA" w:rsidR="00477626" w:rsidRPr="00E33C1B" w:rsidRDefault="00E33C1B" w:rsidP="008102DD">
      <w:pPr>
        <w:numPr>
          <w:ilvl w:val="0"/>
          <w:numId w:val="2"/>
        </w:numPr>
        <w:shd w:val="clear" w:color="auto" w:fill="FFFFFF"/>
        <w:spacing w:before="100" w:beforeAutospacing="1" w:after="0" w:line="240" w:lineRule="atLeast"/>
        <w:rPr>
          <w:rFonts w:ascii="Cambria" w:hAnsi="Cambria"/>
          <w:sz w:val="20"/>
          <w:szCs w:val="20"/>
        </w:rPr>
      </w:pPr>
      <w:r>
        <w:rPr>
          <w:rFonts w:ascii="Cambria" w:hAnsi="Cambria"/>
          <w:sz w:val="20"/>
          <w:szCs w:val="20"/>
        </w:rPr>
        <w:t xml:space="preserve">Les présentations des </w:t>
      </w:r>
      <w:r w:rsidRPr="00E33C1B">
        <w:rPr>
          <w:rFonts w:ascii="Cambria" w:hAnsi="Cambria"/>
          <w:b/>
          <w:bCs/>
          <w:sz w:val="20"/>
          <w:szCs w:val="20"/>
        </w:rPr>
        <w:t>cours</w:t>
      </w:r>
      <w:r>
        <w:rPr>
          <w:rFonts w:ascii="Cambria" w:hAnsi="Cambria"/>
          <w:sz w:val="20"/>
          <w:szCs w:val="20"/>
        </w:rPr>
        <w:t xml:space="preserve"> sont seulement visibles avec le </w:t>
      </w:r>
      <w:r w:rsidRPr="00E33C1B">
        <w:rPr>
          <w:rFonts w:ascii="Cambria" w:hAnsi="Cambria"/>
          <w:b/>
          <w:bCs/>
          <w:sz w:val="20"/>
          <w:szCs w:val="20"/>
        </w:rPr>
        <w:t>mot de passe</w:t>
      </w:r>
      <w:r>
        <w:rPr>
          <w:rFonts w:ascii="Cambria" w:hAnsi="Cambria"/>
          <w:sz w:val="20"/>
          <w:szCs w:val="20"/>
        </w:rPr>
        <w:t xml:space="preserve"> fournit pendant le cours</w:t>
      </w:r>
    </w:p>
    <w:p w14:paraId="52D9486C" w14:textId="52E10593" w:rsidR="00CD455A" w:rsidRPr="00E33C1B" w:rsidRDefault="00CD455A" w:rsidP="008102DD">
      <w:pPr>
        <w:numPr>
          <w:ilvl w:val="0"/>
          <w:numId w:val="2"/>
        </w:numPr>
        <w:shd w:val="clear" w:color="auto" w:fill="FFFFFF"/>
        <w:spacing w:before="100" w:beforeAutospacing="1" w:after="0" w:line="240" w:lineRule="atLeast"/>
        <w:rPr>
          <w:rFonts w:ascii="Cambria" w:hAnsi="Cambria"/>
          <w:sz w:val="20"/>
          <w:szCs w:val="20"/>
        </w:rPr>
      </w:pPr>
      <w:r w:rsidRPr="00E33C1B">
        <w:rPr>
          <w:rFonts w:ascii="Cambria" w:eastAsia="Times New Roman" w:hAnsi="Cambria" w:cs="Helvetica"/>
          <w:kern w:val="0"/>
          <w:sz w:val="20"/>
          <w:szCs w:val="20"/>
          <w:lang w:eastAsia="en-GB"/>
          <w14:ligatures w14:val="none"/>
        </w:rPr>
        <w:t>Matériel distribué pendant les cours</w:t>
      </w:r>
    </w:p>
    <w:sectPr w:rsidR="00CD455A" w:rsidRPr="00E33C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F42E5"/>
    <w:multiLevelType w:val="multilevel"/>
    <w:tmpl w:val="292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73ADE"/>
    <w:multiLevelType w:val="hybridMultilevel"/>
    <w:tmpl w:val="33E2C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BD3021"/>
    <w:multiLevelType w:val="hybridMultilevel"/>
    <w:tmpl w:val="79E2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DC2678"/>
    <w:multiLevelType w:val="multilevel"/>
    <w:tmpl w:val="25F8F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E019D2"/>
    <w:multiLevelType w:val="hybridMultilevel"/>
    <w:tmpl w:val="1638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5401465">
    <w:abstractNumId w:val="3"/>
  </w:num>
  <w:num w:numId="2" w16cid:durableId="859441050">
    <w:abstractNumId w:val="0"/>
  </w:num>
  <w:num w:numId="3" w16cid:durableId="1301033232">
    <w:abstractNumId w:val="2"/>
  </w:num>
  <w:num w:numId="4" w16cid:durableId="1400052503">
    <w:abstractNumId w:val="4"/>
  </w:num>
  <w:num w:numId="5" w16cid:durableId="653528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5A"/>
    <w:rsid w:val="000A1763"/>
    <w:rsid w:val="0011279A"/>
    <w:rsid w:val="00126D42"/>
    <w:rsid w:val="00134D70"/>
    <w:rsid w:val="00216C6C"/>
    <w:rsid w:val="00231483"/>
    <w:rsid w:val="003310CB"/>
    <w:rsid w:val="00477626"/>
    <w:rsid w:val="004C7027"/>
    <w:rsid w:val="00564607"/>
    <w:rsid w:val="006B79F9"/>
    <w:rsid w:val="0070312F"/>
    <w:rsid w:val="00975F38"/>
    <w:rsid w:val="00A420E6"/>
    <w:rsid w:val="00C436C7"/>
    <w:rsid w:val="00CD455A"/>
    <w:rsid w:val="00D17794"/>
    <w:rsid w:val="00E33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405C8"/>
  <w15:chartTrackingRefBased/>
  <w15:docId w15:val="{BD971A31-B760-4E04-8FDF-FBDD9113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Heading1">
    <w:name w:val="heading 1"/>
    <w:basedOn w:val="Normal"/>
    <w:next w:val="Normal"/>
    <w:link w:val="Heading1Char"/>
    <w:uiPriority w:val="9"/>
    <w:qFormat/>
    <w:rsid w:val="00CD4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5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5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5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5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5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5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5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5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5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5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5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5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5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5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55A"/>
    <w:rPr>
      <w:rFonts w:eastAsiaTheme="majorEastAsia" w:cstheme="majorBidi"/>
      <w:color w:val="272727" w:themeColor="text1" w:themeTint="D8"/>
    </w:rPr>
  </w:style>
  <w:style w:type="paragraph" w:styleId="Title">
    <w:name w:val="Title"/>
    <w:basedOn w:val="Normal"/>
    <w:next w:val="Normal"/>
    <w:link w:val="TitleChar"/>
    <w:uiPriority w:val="10"/>
    <w:qFormat/>
    <w:rsid w:val="00CD45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5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5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5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55A"/>
    <w:pPr>
      <w:spacing w:before="160"/>
      <w:jc w:val="center"/>
    </w:pPr>
    <w:rPr>
      <w:i/>
      <w:iCs/>
      <w:color w:val="404040" w:themeColor="text1" w:themeTint="BF"/>
    </w:rPr>
  </w:style>
  <w:style w:type="character" w:customStyle="1" w:styleId="QuoteChar">
    <w:name w:val="Quote Char"/>
    <w:basedOn w:val="DefaultParagraphFont"/>
    <w:link w:val="Quote"/>
    <w:uiPriority w:val="29"/>
    <w:rsid w:val="00CD455A"/>
    <w:rPr>
      <w:i/>
      <w:iCs/>
      <w:color w:val="404040" w:themeColor="text1" w:themeTint="BF"/>
    </w:rPr>
  </w:style>
  <w:style w:type="paragraph" w:styleId="ListParagraph">
    <w:name w:val="List Paragraph"/>
    <w:basedOn w:val="Normal"/>
    <w:uiPriority w:val="34"/>
    <w:qFormat/>
    <w:rsid w:val="00CD455A"/>
    <w:pPr>
      <w:ind w:left="720"/>
      <w:contextualSpacing/>
    </w:pPr>
  </w:style>
  <w:style w:type="character" w:styleId="IntenseEmphasis">
    <w:name w:val="Intense Emphasis"/>
    <w:basedOn w:val="DefaultParagraphFont"/>
    <w:uiPriority w:val="21"/>
    <w:qFormat/>
    <w:rsid w:val="00CD455A"/>
    <w:rPr>
      <w:i/>
      <w:iCs/>
      <w:color w:val="0F4761" w:themeColor="accent1" w:themeShade="BF"/>
    </w:rPr>
  </w:style>
  <w:style w:type="paragraph" w:styleId="IntenseQuote">
    <w:name w:val="Intense Quote"/>
    <w:basedOn w:val="Normal"/>
    <w:next w:val="Normal"/>
    <w:link w:val="IntenseQuoteChar"/>
    <w:uiPriority w:val="30"/>
    <w:qFormat/>
    <w:rsid w:val="00CD4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55A"/>
    <w:rPr>
      <w:i/>
      <w:iCs/>
      <w:color w:val="0F4761" w:themeColor="accent1" w:themeShade="BF"/>
    </w:rPr>
  </w:style>
  <w:style w:type="character" w:styleId="IntenseReference">
    <w:name w:val="Intense Reference"/>
    <w:basedOn w:val="DefaultParagraphFont"/>
    <w:uiPriority w:val="32"/>
    <w:qFormat/>
    <w:rsid w:val="00CD455A"/>
    <w:rPr>
      <w:b/>
      <w:bCs/>
      <w:smallCaps/>
      <w:color w:val="0F4761" w:themeColor="accent1" w:themeShade="BF"/>
      <w:spacing w:val="5"/>
    </w:rPr>
  </w:style>
  <w:style w:type="paragraph" w:styleId="NormalWeb">
    <w:name w:val="Normal (Web)"/>
    <w:basedOn w:val="Normal"/>
    <w:uiPriority w:val="99"/>
    <w:semiHidden/>
    <w:unhideWhenUsed/>
    <w:rsid w:val="00CD455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0312F"/>
    <w:rPr>
      <w:color w:val="467886" w:themeColor="hyperlink"/>
      <w:u w:val="single"/>
    </w:rPr>
  </w:style>
  <w:style w:type="character" w:styleId="UnresolvedMention">
    <w:name w:val="Unresolved Mention"/>
    <w:basedOn w:val="DefaultParagraphFont"/>
    <w:uiPriority w:val="99"/>
    <w:semiHidden/>
    <w:unhideWhenUsed/>
    <w:rsid w:val="0070312F"/>
    <w:rPr>
      <w:color w:val="605E5C"/>
      <w:shd w:val="clear" w:color="auto" w:fill="E1DFDD"/>
    </w:rPr>
  </w:style>
  <w:style w:type="character" w:styleId="FollowedHyperlink">
    <w:name w:val="FollowedHyperlink"/>
    <w:basedOn w:val="DefaultParagraphFont"/>
    <w:uiPriority w:val="99"/>
    <w:semiHidden/>
    <w:unhideWhenUsed/>
    <w:rsid w:val="005646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7636114">
      <w:bodyDiv w:val="1"/>
      <w:marLeft w:val="0"/>
      <w:marRight w:val="0"/>
      <w:marTop w:val="0"/>
      <w:marBottom w:val="0"/>
      <w:divBdr>
        <w:top w:val="none" w:sz="0" w:space="0" w:color="auto"/>
        <w:left w:val="none" w:sz="0" w:space="0" w:color="auto"/>
        <w:bottom w:val="none" w:sz="0" w:space="0" w:color="auto"/>
        <w:right w:val="none" w:sz="0" w:space="0" w:color="auto"/>
      </w:divBdr>
      <w:divsChild>
        <w:div w:id="1906993401">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fo.umfcluj.ro/index.php/fr/educatie-fr/mcs-fr/mg2f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6</Pages>
  <Words>3020</Words>
  <Characters>17215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LEUCUTA DANIEL CORNELIU</dc:creator>
  <cp:keywords/>
  <dc:description/>
  <cp:lastModifiedBy>Daniel Leucuta</cp:lastModifiedBy>
  <cp:revision>5</cp:revision>
  <dcterms:created xsi:type="dcterms:W3CDTF">2024-05-20T08:31:00Z</dcterms:created>
  <dcterms:modified xsi:type="dcterms:W3CDTF">2024-05-20T08:51:00Z</dcterms:modified>
</cp:coreProperties>
</file>