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ED52B" w14:textId="45C1690F" w:rsidR="001F14B5" w:rsidRPr="00F27EFC" w:rsidRDefault="00710120" w:rsidP="00710120">
      <w:pPr>
        <w:jc w:val="center"/>
        <w:rPr>
          <w:b/>
          <w:bCs/>
          <w:sz w:val="36"/>
          <w:szCs w:val="36"/>
        </w:rPr>
      </w:pPr>
      <w:r w:rsidRPr="00F27EFC">
        <w:rPr>
          <w:b/>
          <w:bCs/>
          <w:sz w:val="36"/>
          <w:szCs w:val="36"/>
          <w:lang w:val="pt-BR"/>
        </w:rPr>
        <w:t xml:space="preserve">Prise en charge de la pancréatite aiguë. </w:t>
      </w:r>
      <w:r w:rsidRPr="00F27EFC">
        <w:rPr>
          <w:b/>
          <w:bCs/>
          <w:sz w:val="36"/>
          <w:szCs w:val="36"/>
        </w:rPr>
        <w:t xml:space="preserve">Revue de la </w:t>
      </w:r>
      <w:proofErr w:type="spellStart"/>
      <w:r w:rsidRPr="00F27EFC">
        <w:rPr>
          <w:b/>
          <w:bCs/>
          <w:sz w:val="36"/>
          <w:szCs w:val="36"/>
        </w:rPr>
        <w:t>littérature</w:t>
      </w:r>
      <w:proofErr w:type="spellEnd"/>
    </w:p>
    <w:p w14:paraId="11EFC279" w14:textId="77777777" w:rsidR="00710120" w:rsidRPr="00262544" w:rsidRDefault="00710120" w:rsidP="00710120">
      <w:pPr>
        <w:jc w:val="center"/>
        <w:rPr>
          <w:sz w:val="24"/>
          <w:szCs w:val="24"/>
        </w:rPr>
      </w:pPr>
    </w:p>
    <w:p w14:paraId="617603D1" w14:textId="2CC47FE5" w:rsidR="00710120" w:rsidRPr="00262544" w:rsidRDefault="00710120" w:rsidP="00094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262544">
        <w:rPr>
          <w:b/>
          <w:bCs/>
          <w:sz w:val="24"/>
          <w:szCs w:val="24"/>
        </w:rPr>
        <w:t>Introduction</w:t>
      </w:r>
    </w:p>
    <w:p w14:paraId="39960626" w14:textId="75889352" w:rsidR="00710120" w:rsidRPr="00262544" w:rsidRDefault="00094AE4" w:rsidP="00710120">
      <w:pPr>
        <w:rPr>
          <w:sz w:val="24"/>
          <w:szCs w:val="24"/>
          <w:lang w:val="pt-BR"/>
        </w:rPr>
      </w:pPr>
      <w:r w:rsidRPr="00262544">
        <w:rPr>
          <w:sz w:val="24"/>
          <w:szCs w:val="24"/>
          <w:lang w:val="pt-BR"/>
        </w:rPr>
        <w:t xml:space="preserve">   </w:t>
      </w:r>
      <w:r w:rsidR="00710120" w:rsidRPr="00262544">
        <w:rPr>
          <w:sz w:val="24"/>
          <w:szCs w:val="24"/>
          <w:lang w:val="pt-BR"/>
        </w:rPr>
        <w:t>La pancréatite aiguë résulte d’une inflammation majeure au sein de la glande pancréatique, secondaire à une auto</w:t>
      </w:r>
      <w:r w:rsidR="00FD6EFB">
        <w:rPr>
          <w:sz w:val="24"/>
          <w:szCs w:val="24"/>
          <w:lang w:val="pt-BR"/>
        </w:rPr>
        <w:t>-</w:t>
      </w:r>
      <w:r w:rsidR="00710120" w:rsidRPr="00262544">
        <w:rPr>
          <w:sz w:val="24"/>
          <w:szCs w:val="24"/>
          <w:lang w:val="pt-BR"/>
        </w:rPr>
        <w:t>activation en cascade de ses enzymes responsables de lésions acinaires et activant de nombreuses protéines de l’inflammation. Cette auto-activation peut être provoquée par une obstruction prolongée du canal pancréatique ou par relargage des enzymes pro-activatrices lors d’intoxication éthylique en particulier.</w:t>
      </w:r>
    </w:p>
    <w:p w14:paraId="3C7E19E3" w14:textId="102D678E" w:rsidR="00710120" w:rsidRPr="00CF52FD" w:rsidRDefault="00094AE4" w:rsidP="00710120">
      <w:pPr>
        <w:rPr>
          <w:sz w:val="24"/>
          <w:szCs w:val="24"/>
          <w:lang w:val="pt-BR"/>
        </w:rPr>
      </w:pPr>
      <w:r w:rsidRPr="00CF52FD">
        <w:rPr>
          <w:sz w:val="24"/>
          <w:szCs w:val="24"/>
        </w:rPr>
        <w:t xml:space="preserve">   </w:t>
      </w:r>
      <w:r w:rsidR="00710120" w:rsidRPr="00CF52FD">
        <w:rPr>
          <w:sz w:val="24"/>
          <w:szCs w:val="24"/>
        </w:rPr>
        <w:t xml:space="preserve">Première cause </w:t>
      </w:r>
      <w:proofErr w:type="spellStart"/>
      <w:r w:rsidR="00710120" w:rsidRPr="00CF52FD">
        <w:rPr>
          <w:sz w:val="24"/>
          <w:szCs w:val="24"/>
        </w:rPr>
        <w:t>d’admission</w:t>
      </w:r>
      <w:proofErr w:type="spellEnd"/>
      <w:r w:rsidR="00710120" w:rsidRPr="00CF52FD">
        <w:rPr>
          <w:sz w:val="24"/>
          <w:szCs w:val="24"/>
        </w:rPr>
        <w:t xml:space="preserve"> pour urgence </w:t>
      </w:r>
      <w:proofErr w:type="spellStart"/>
      <w:r w:rsidR="00710120" w:rsidRPr="00CF52FD">
        <w:rPr>
          <w:sz w:val="24"/>
          <w:szCs w:val="24"/>
        </w:rPr>
        <w:t>abdominale</w:t>
      </w:r>
      <w:proofErr w:type="spellEnd"/>
      <w:r w:rsidR="00710120" w:rsidRPr="00CF52FD">
        <w:rPr>
          <w:sz w:val="24"/>
          <w:szCs w:val="24"/>
        </w:rPr>
        <w:t xml:space="preserve"> dans les pays </w:t>
      </w:r>
      <w:proofErr w:type="spellStart"/>
      <w:r w:rsidR="00710120" w:rsidRPr="00CF52FD">
        <w:rPr>
          <w:sz w:val="24"/>
          <w:szCs w:val="24"/>
        </w:rPr>
        <w:t>occidentaux</w:t>
      </w:r>
      <w:proofErr w:type="spellEnd"/>
      <w:r w:rsidR="00710120" w:rsidRPr="00CF52FD">
        <w:rPr>
          <w:sz w:val="24"/>
          <w:szCs w:val="24"/>
        </w:rPr>
        <w:t xml:space="preserve">, son incidence </w:t>
      </w:r>
      <w:proofErr w:type="spellStart"/>
      <w:r w:rsidR="00710120" w:rsidRPr="00CF52FD">
        <w:rPr>
          <w:sz w:val="24"/>
          <w:szCs w:val="24"/>
        </w:rPr>
        <w:t>est</w:t>
      </w:r>
      <w:proofErr w:type="spellEnd"/>
      <w:r w:rsidR="00710120" w:rsidRPr="00CF52FD">
        <w:rPr>
          <w:sz w:val="24"/>
          <w:szCs w:val="24"/>
        </w:rPr>
        <w:t xml:space="preserve"> de 13–45 </w:t>
      </w:r>
      <w:proofErr w:type="spellStart"/>
      <w:r w:rsidR="00710120" w:rsidRPr="00CF52FD">
        <w:rPr>
          <w:sz w:val="24"/>
          <w:szCs w:val="24"/>
        </w:rPr>
        <w:t>cas</w:t>
      </w:r>
      <w:proofErr w:type="spellEnd"/>
      <w:r w:rsidR="00710120" w:rsidRPr="00CF52FD">
        <w:rPr>
          <w:sz w:val="24"/>
          <w:szCs w:val="24"/>
        </w:rPr>
        <w:t xml:space="preserve"> pour 100 000 habitants et par an. </w:t>
      </w:r>
      <w:r w:rsidR="00CF52FD" w:rsidRPr="00CF52FD">
        <w:rPr>
          <w:sz w:val="24"/>
          <w:szCs w:val="24"/>
        </w:rPr>
        <w:t xml:space="preserve"> </w:t>
      </w:r>
      <w:r w:rsidR="00710120" w:rsidRPr="00CF52FD">
        <w:rPr>
          <w:sz w:val="24"/>
          <w:szCs w:val="24"/>
          <w:lang w:val="pt-BR"/>
        </w:rPr>
        <w:t>Il s’agit d’une affection grave pouvant nécessiter de longs séjours d’hospitalisation, entraîner de lourdes comorbidités, ainsi que des décès.</w:t>
      </w:r>
    </w:p>
    <w:p w14:paraId="370DA34B" w14:textId="01EB62C8" w:rsidR="00262544" w:rsidRPr="00CF52FD" w:rsidRDefault="00262544" w:rsidP="00710120">
      <w:pPr>
        <w:rPr>
          <w:sz w:val="24"/>
          <w:szCs w:val="24"/>
        </w:rPr>
      </w:pPr>
      <w:r w:rsidRPr="00CF52FD">
        <w:rPr>
          <w:sz w:val="24"/>
          <w:szCs w:val="24"/>
          <w:lang w:val="pt-BR"/>
        </w:rPr>
        <w:t xml:space="preserve">   </w:t>
      </w:r>
      <w:r w:rsidRPr="00CF52FD">
        <w:rPr>
          <w:sz w:val="24"/>
          <w:szCs w:val="24"/>
        </w:rPr>
        <w:t xml:space="preserve">Une </w:t>
      </w:r>
      <w:proofErr w:type="spellStart"/>
      <w:r w:rsidRPr="00CF52FD">
        <w:rPr>
          <w:sz w:val="24"/>
          <w:szCs w:val="24"/>
        </w:rPr>
        <w:t>pancréatite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aiguë</w:t>
      </w:r>
      <w:proofErr w:type="spellEnd"/>
      <w:r w:rsidRPr="00CF52FD">
        <w:rPr>
          <w:sz w:val="24"/>
          <w:szCs w:val="24"/>
        </w:rPr>
        <w:t xml:space="preserve"> grave </w:t>
      </w:r>
      <w:proofErr w:type="spellStart"/>
      <w:r w:rsidRPr="00CF52FD">
        <w:rPr>
          <w:sz w:val="24"/>
          <w:szCs w:val="24"/>
        </w:rPr>
        <w:t>peut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avoir</w:t>
      </w:r>
      <w:proofErr w:type="spellEnd"/>
      <w:r w:rsidRPr="00CF52FD">
        <w:rPr>
          <w:sz w:val="24"/>
          <w:szCs w:val="24"/>
        </w:rPr>
        <w:t xml:space="preserve"> des </w:t>
      </w:r>
      <w:proofErr w:type="spellStart"/>
      <w:r w:rsidRPr="00CF52FD">
        <w:rPr>
          <w:sz w:val="24"/>
          <w:szCs w:val="24"/>
        </w:rPr>
        <w:t>conséquences</w:t>
      </w:r>
      <w:proofErr w:type="spellEnd"/>
      <w:r w:rsidRPr="00CF52FD">
        <w:rPr>
          <w:sz w:val="24"/>
          <w:szCs w:val="24"/>
        </w:rPr>
        <w:t xml:space="preserve"> à </w:t>
      </w:r>
      <w:proofErr w:type="spellStart"/>
      <w:r w:rsidRPr="00CF52FD">
        <w:rPr>
          <w:sz w:val="24"/>
          <w:szCs w:val="24"/>
        </w:rPr>
        <w:t>longterme</w:t>
      </w:r>
      <w:proofErr w:type="spellEnd"/>
      <w:r w:rsidRPr="00CF52FD">
        <w:rPr>
          <w:sz w:val="24"/>
          <w:szCs w:val="24"/>
        </w:rPr>
        <w:t xml:space="preserve"> sur le </w:t>
      </w:r>
      <w:proofErr w:type="spellStart"/>
      <w:r w:rsidRPr="00CF52FD">
        <w:rPr>
          <w:sz w:val="24"/>
          <w:szCs w:val="24"/>
        </w:rPr>
        <w:t>fonctionnement</w:t>
      </w:r>
      <w:proofErr w:type="spellEnd"/>
      <w:r w:rsidRPr="00CF52FD">
        <w:rPr>
          <w:sz w:val="24"/>
          <w:szCs w:val="24"/>
        </w:rPr>
        <w:t xml:space="preserve"> de la </w:t>
      </w:r>
      <w:proofErr w:type="spellStart"/>
      <w:r w:rsidRPr="00CF52FD">
        <w:rPr>
          <w:sz w:val="24"/>
          <w:szCs w:val="24"/>
        </w:rPr>
        <w:t>glande</w:t>
      </w:r>
      <w:proofErr w:type="spellEnd"/>
      <w:r w:rsidRPr="00CF52FD">
        <w:rPr>
          <w:sz w:val="24"/>
          <w:szCs w:val="24"/>
        </w:rPr>
        <w:t xml:space="preserve">. </w:t>
      </w:r>
      <w:proofErr w:type="spellStart"/>
      <w:r w:rsidRPr="00CF52FD">
        <w:rPr>
          <w:sz w:val="24"/>
          <w:szCs w:val="24"/>
        </w:rPr>
        <w:t>Ses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fonctions</w:t>
      </w:r>
      <w:proofErr w:type="spellEnd"/>
      <w:r w:rsidRPr="00CF52FD">
        <w:rPr>
          <w:sz w:val="24"/>
          <w:szCs w:val="24"/>
        </w:rPr>
        <w:t xml:space="preserve"> endocrines </w:t>
      </w:r>
      <w:proofErr w:type="spellStart"/>
      <w:r w:rsidRPr="00CF52FD">
        <w:rPr>
          <w:sz w:val="24"/>
          <w:szCs w:val="24"/>
        </w:rPr>
        <w:t>peuvent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être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altérées</w:t>
      </w:r>
      <w:proofErr w:type="spellEnd"/>
      <w:r w:rsidRPr="00CF52FD">
        <w:rPr>
          <w:sz w:val="24"/>
          <w:szCs w:val="24"/>
        </w:rPr>
        <w:t xml:space="preserve"> avec un </w:t>
      </w:r>
      <w:proofErr w:type="spellStart"/>
      <w:r w:rsidRPr="00CF52FD">
        <w:rPr>
          <w:sz w:val="24"/>
          <w:szCs w:val="24"/>
        </w:rPr>
        <w:t>risque</w:t>
      </w:r>
      <w:proofErr w:type="spellEnd"/>
      <w:r w:rsidRPr="00CF52FD">
        <w:rPr>
          <w:sz w:val="24"/>
          <w:szCs w:val="24"/>
        </w:rPr>
        <w:t xml:space="preserve"> non </w:t>
      </w:r>
      <w:proofErr w:type="spellStart"/>
      <w:r w:rsidRPr="00CF52FD">
        <w:rPr>
          <w:sz w:val="24"/>
          <w:szCs w:val="24"/>
        </w:rPr>
        <w:t>négligeable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d’intoléranceau</w:t>
      </w:r>
      <w:proofErr w:type="spellEnd"/>
      <w:r w:rsidRPr="00CF52FD">
        <w:rPr>
          <w:sz w:val="24"/>
          <w:szCs w:val="24"/>
        </w:rPr>
        <w:t xml:space="preserve"> glucose et de </w:t>
      </w:r>
      <w:proofErr w:type="spellStart"/>
      <w:r w:rsidRPr="00CF52FD">
        <w:rPr>
          <w:sz w:val="24"/>
          <w:szCs w:val="24"/>
        </w:rPr>
        <w:t>diabète</w:t>
      </w:r>
      <w:proofErr w:type="spellEnd"/>
      <w:r w:rsidRPr="00CF52FD">
        <w:rPr>
          <w:sz w:val="24"/>
          <w:szCs w:val="24"/>
        </w:rPr>
        <w:t xml:space="preserve">, de </w:t>
      </w:r>
      <w:proofErr w:type="spellStart"/>
      <w:r w:rsidRPr="00CF52FD">
        <w:rPr>
          <w:sz w:val="24"/>
          <w:szCs w:val="24"/>
        </w:rPr>
        <w:t>même</w:t>
      </w:r>
      <w:proofErr w:type="spellEnd"/>
      <w:r w:rsidRPr="00CF52FD">
        <w:rPr>
          <w:sz w:val="24"/>
          <w:szCs w:val="24"/>
        </w:rPr>
        <w:t xml:space="preserve"> que </w:t>
      </w:r>
      <w:proofErr w:type="spellStart"/>
      <w:r w:rsidRPr="00CF52FD">
        <w:rPr>
          <w:sz w:val="24"/>
          <w:szCs w:val="24"/>
        </w:rPr>
        <w:t>ses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fonctions</w:t>
      </w:r>
      <w:proofErr w:type="spellEnd"/>
      <w:r w:rsidRPr="00CF52FD">
        <w:rPr>
          <w:sz w:val="24"/>
          <w:szCs w:val="24"/>
        </w:rPr>
        <w:t xml:space="preserve"> exocrines, avec apparition </w:t>
      </w:r>
      <w:proofErr w:type="spellStart"/>
      <w:r w:rsidRPr="00CF52FD">
        <w:rPr>
          <w:sz w:val="24"/>
          <w:szCs w:val="24"/>
        </w:rPr>
        <w:t>d’une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stéatorrhée</w:t>
      </w:r>
      <w:proofErr w:type="spellEnd"/>
      <w:r w:rsidRPr="00CF52FD">
        <w:rPr>
          <w:sz w:val="24"/>
          <w:szCs w:val="24"/>
        </w:rPr>
        <w:t xml:space="preserve"> dans 25 % des </w:t>
      </w:r>
      <w:proofErr w:type="spellStart"/>
      <w:r w:rsidRPr="00CF52FD">
        <w:rPr>
          <w:sz w:val="24"/>
          <w:szCs w:val="24"/>
        </w:rPr>
        <w:t>cas</w:t>
      </w:r>
      <w:proofErr w:type="spellEnd"/>
      <w:r w:rsidRPr="00CF52FD">
        <w:rPr>
          <w:sz w:val="24"/>
          <w:szCs w:val="24"/>
        </w:rPr>
        <w:t xml:space="preserve"> après </w:t>
      </w:r>
      <w:proofErr w:type="spellStart"/>
      <w:r w:rsidRPr="00CF52FD">
        <w:rPr>
          <w:sz w:val="24"/>
          <w:szCs w:val="24"/>
        </w:rPr>
        <w:t>une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pancréatite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sévère</w:t>
      </w:r>
      <w:proofErr w:type="spellEnd"/>
      <w:r w:rsidRPr="00CF52FD">
        <w:rPr>
          <w:sz w:val="24"/>
          <w:szCs w:val="24"/>
        </w:rPr>
        <w:t xml:space="preserve"> </w:t>
      </w:r>
      <w:proofErr w:type="spellStart"/>
      <w:r w:rsidRPr="00CF52FD">
        <w:rPr>
          <w:sz w:val="24"/>
          <w:szCs w:val="24"/>
        </w:rPr>
        <w:t>nécrosante</w:t>
      </w:r>
      <w:proofErr w:type="spellEnd"/>
      <w:r w:rsidRPr="00CF52FD">
        <w:rPr>
          <w:sz w:val="24"/>
          <w:szCs w:val="24"/>
        </w:rPr>
        <w:t>.</w:t>
      </w:r>
    </w:p>
    <w:p w14:paraId="05343527" w14:textId="1C365F69" w:rsidR="00094AE4" w:rsidRPr="00262544" w:rsidRDefault="00094AE4" w:rsidP="00094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pt-BR"/>
        </w:rPr>
      </w:pPr>
      <w:r w:rsidRPr="00262544">
        <w:rPr>
          <w:b/>
          <w:bCs/>
          <w:sz w:val="24"/>
          <w:szCs w:val="24"/>
          <w:lang w:val="pt-BR"/>
        </w:rPr>
        <w:t>Diagnostic positif</w:t>
      </w:r>
    </w:p>
    <w:p w14:paraId="594229DF" w14:textId="33AF35C6" w:rsidR="00094AE4" w:rsidRPr="00262544" w:rsidRDefault="00094AE4" w:rsidP="00094AE4">
      <w:pPr>
        <w:rPr>
          <w:sz w:val="24"/>
          <w:szCs w:val="24"/>
          <w:lang w:val="pt-BR"/>
        </w:rPr>
      </w:pPr>
      <w:r w:rsidRPr="00262544">
        <w:rPr>
          <w:sz w:val="24"/>
          <w:szCs w:val="24"/>
          <w:lang w:val="pt-BR"/>
        </w:rPr>
        <w:t xml:space="preserve">   L</w:t>
      </w:r>
      <w:r w:rsidRPr="00262544">
        <w:rPr>
          <w:sz w:val="24"/>
          <w:szCs w:val="24"/>
          <w:lang w:val="pt-BR"/>
        </w:rPr>
        <w:t>e diagnostic de pancréatite aiguë requiert au moins deux destrois critères suivants (Critère de la classification d’Atlanta [</w:t>
      </w:r>
      <w:r w:rsidR="00CF52FD">
        <w:rPr>
          <w:rStyle w:val="EndnoteReference"/>
          <w:sz w:val="24"/>
          <w:szCs w:val="24"/>
          <w:lang w:val="pt-BR"/>
        </w:rPr>
        <w:endnoteReference w:id="1"/>
      </w:r>
      <w:r w:rsidRPr="00262544">
        <w:rPr>
          <w:sz w:val="24"/>
          <w:szCs w:val="24"/>
          <w:lang w:val="pt-BR"/>
        </w:rPr>
        <w:t>]) :</w:t>
      </w:r>
    </w:p>
    <w:p w14:paraId="3B5EC064" w14:textId="2D68C2B4" w:rsidR="00094AE4" w:rsidRPr="00262544" w:rsidRDefault="00094AE4" w:rsidP="00094AE4">
      <w:pPr>
        <w:pStyle w:val="ListParagraph"/>
        <w:numPr>
          <w:ilvl w:val="0"/>
          <w:numId w:val="2"/>
        </w:numPr>
        <w:rPr>
          <w:sz w:val="24"/>
          <w:szCs w:val="24"/>
          <w:lang w:val="pt-BR"/>
        </w:rPr>
      </w:pPr>
      <w:r w:rsidRPr="00262544">
        <w:rPr>
          <w:sz w:val="24"/>
          <w:szCs w:val="24"/>
          <w:lang w:val="pt-BR"/>
        </w:rPr>
        <w:t>douleur abdominale évocatrice d’une origine pancréatique (douleur épigastrique « solaire », ou de l’hypochondre gauche,</w:t>
      </w:r>
      <w:r w:rsidR="0061272B">
        <w:rPr>
          <w:sz w:val="24"/>
          <w:szCs w:val="24"/>
          <w:lang w:val="pt-BR"/>
        </w:rPr>
        <w:t xml:space="preserve"> </w:t>
      </w:r>
      <w:r w:rsidRPr="00262544">
        <w:rPr>
          <w:sz w:val="24"/>
          <w:szCs w:val="24"/>
          <w:lang w:val="pt-BR"/>
        </w:rPr>
        <w:t>d’apparition brutale, avec irradiation dorsale ou en hémiceinture, très intense, insomniante, aggravée par la prise</w:t>
      </w:r>
      <w:r w:rsidR="0061272B">
        <w:rPr>
          <w:sz w:val="24"/>
          <w:szCs w:val="24"/>
          <w:lang w:val="pt-BR"/>
        </w:rPr>
        <w:t xml:space="preserve"> </w:t>
      </w:r>
      <w:r w:rsidRPr="00262544">
        <w:rPr>
          <w:sz w:val="24"/>
          <w:szCs w:val="24"/>
          <w:lang w:val="pt-BR"/>
        </w:rPr>
        <w:t>alimentaire ou d’alcool, avec position antalgique en chien de</w:t>
      </w:r>
      <w:r w:rsidR="0061272B">
        <w:rPr>
          <w:sz w:val="24"/>
          <w:szCs w:val="24"/>
          <w:lang w:val="pt-BR"/>
        </w:rPr>
        <w:t xml:space="preserve"> </w:t>
      </w:r>
      <w:r w:rsidRPr="00262544">
        <w:rPr>
          <w:sz w:val="24"/>
          <w:szCs w:val="24"/>
          <w:lang w:val="pt-BR"/>
        </w:rPr>
        <w:t>fusil);</w:t>
      </w:r>
    </w:p>
    <w:p w14:paraId="2FD206CD" w14:textId="3D077FC4" w:rsidR="00094AE4" w:rsidRPr="00262544" w:rsidRDefault="00094AE4" w:rsidP="00094AE4">
      <w:pPr>
        <w:pStyle w:val="ListParagraph"/>
        <w:numPr>
          <w:ilvl w:val="0"/>
          <w:numId w:val="2"/>
        </w:numPr>
        <w:rPr>
          <w:sz w:val="24"/>
          <w:szCs w:val="24"/>
          <w:lang w:val="pt-BR"/>
        </w:rPr>
      </w:pPr>
      <w:r w:rsidRPr="00262544">
        <w:rPr>
          <w:sz w:val="24"/>
          <w:szCs w:val="24"/>
          <w:lang w:val="pt-BR"/>
        </w:rPr>
        <w:t>lipase sérique supérieure à trois fois la normale ;</w:t>
      </w:r>
    </w:p>
    <w:p w14:paraId="52F2C37F" w14:textId="77777777" w:rsidR="00094AE4" w:rsidRPr="00262544" w:rsidRDefault="00094AE4" w:rsidP="00094AE4">
      <w:pPr>
        <w:pStyle w:val="ListParagraph"/>
        <w:numPr>
          <w:ilvl w:val="0"/>
          <w:numId w:val="2"/>
        </w:numPr>
        <w:rPr>
          <w:sz w:val="24"/>
          <w:szCs w:val="24"/>
          <w:lang w:val="pt-BR"/>
        </w:rPr>
      </w:pPr>
      <w:r w:rsidRPr="00262544">
        <w:rPr>
          <w:sz w:val="24"/>
          <w:szCs w:val="24"/>
          <w:lang w:val="pt-BR"/>
        </w:rPr>
        <w:t>imagerie (scanographie ou imagerie par résonance magnétique[IRM]) évocatrice de pancréatite aiguë.</w:t>
      </w:r>
    </w:p>
    <w:p w14:paraId="74DBD7A4" w14:textId="27024C1C" w:rsidR="00094AE4" w:rsidRPr="00F27EFC" w:rsidRDefault="00262544" w:rsidP="00094AE4">
      <w:pPr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   </w:t>
      </w:r>
      <w:r w:rsidR="00094AE4" w:rsidRPr="00262544">
        <w:rPr>
          <w:sz w:val="24"/>
          <w:szCs w:val="24"/>
          <w:lang w:val="pt-BR"/>
        </w:rPr>
        <w:t>En cas de douleur typique et de lipasémie &gt; 3N, l’imagerie n’est</w:t>
      </w:r>
      <w:r w:rsidR="00B4674D" w:rsidRPr="00262544">
        <w:rPr>
          <w:sz w:val="24"/>
          <w:szCs w:val="24"/>
          <w:lang w:val="pt-BR"/>
        </w:rPr>
        <w:t xml:space="preserve"> </w:t>
      </w:r>
      <w:r w:rsidR="00094AE4" w:rsidRPr="00262544">
        <w:rPr>
          <w:sz w:val="24"/>
          <w:szCs w:val="24"/>
          <w:lang w:val="pt-BR"/>
        </w:rPr>
        <w:t>pas nécessaire pour poser le diagnostic.</w:t>
      </w:r>
      <w:r w:rsidR="00094AE4" w:rsidRPr="00262544">
        <w:rPr>
          <w:sz w:val="24"/>
          <w:szCs w:val="24"/>
          <w:lang w:val="pt-BR"/>
        </w:rPr>
        <w:t xml:space="preserve">  </w:t>
      </w:r>
      <w:proofErr w:type="spellStart"/>
      <w:r w:rsidR="00094AE4" w:rsidRPr="00262544">
        <w:rPr>
          <w:sz w:val="24"/>
          <w:szCs w:val="24"/>
        </w:rPr>
        <w:t>L’amylase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n’est</w:t>
      </w:r>
      <w:proofErr w:type="spellEnd"/>
      <w:r w:rsidR="00094AE4" w:rsidRPr="00262544">
        <w:rPr>
          <w:sz w:val="24"/>
          <w:szCs w:val="24"/>
        </w:rPr>
        <w:t xml:space="preserve"> pas </w:t>
      </w:r>
      <w:proofErr w:type="spellStart"/>
      <w:r w:rsidR="00094AE4" w:rsidRPr="00262544">
        <w:rPr>
          <w:sz w:val="24"/>
          <w:szCs w:val="24"/>
        </w:rPr>
        <w:t>recommandée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en</w:t>
      </w:r>
      <w:proofErr w:type="spellEnd"/>
      <w:r w:rsidR="00094AE4" w:rsidRPr="00262544">
        <w:rPr>
          <w:sz w:val="24"/>
          <w:szCs w:val="24"/>
        </w:rPr>
        <w:t xml:space="preserve"> raison de </w:t>
      </w:r>
      <w:proofErr w:type="spellStart"/>
      <w:r w:rsidR="00094AE4" w:rsidRPr="00262544">
        <w:rPr>
          <w:sz w:val="24"/>
          <w:szCs w:val="24"/>
        </w:rPr>
        <w:t>sa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faible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spécificité</w:t>
      </w:r>
      <w:proofErr w:type="spellEnd"/>
      <w:r w:rsidR="00094AE4" w:rsidRPr="00262544">
        <w:rPr>
          <w:sz w:val="24"/>
          <w:szCs w:val="24"/>
        </w:rPr>
        <w:t>.</w:t>
      </w:r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L’heure</w:t>
      </w:r>
      <w:proofErr w:type="spellEnd"/>
      <w:r w:rsidR="00094AE4" w:rsidRPr="00262544">
        <w:rPr>
          <w:sz w:val="24"/>
          <w:szCs w:val="24"/>
        </w:rPr>
        <w:t xml:space="preserve"> de début des </w:t>
      </w:r>
      <w:proofErr w:type="spellStart"/>
      <w:r w:rsidR="00094AE4" w:rsidRPr="00262544">
        <w:rPr>
          <w:sz w:val="24"/>
          <w:szCs w:val="24"/>
        </w:rPr>
        <w:t>douleurs</w:t>
      </w:r>
      <w:proofErr w:type="spellEnd"/>
      <w:r w:rsidR="00094AE4" w:rsidRPr="00262544">
        <w:rPr>
          <w:sz w:val="24"/>
          <w:szCs w:val="24"/>
        </w:rPr>
        <w:t xml:space="preserve">, et non </w:t>
      </w:r>
      <w:proofErr w:type="spellStart"/>
      <w:r w:rsidR="00094AE4" w:rsidRPr="00262544">
        <w:rPr>
          <w:sz w:val="24"/>
          <w:szCs w:val="24"/>
        </w:rPr>
        <w:t>celle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d’admission</w:t>
      </w:r>
      <w:proofErr w:type="spellEnd"/>
      <w:r w:rsidR="00094AE4" w:rsidRPr="00262544">
        <w:rPr>
          <w:sz w:val="24"/>
          <w:szCs w:val="24"/>
        </w:rPr>
        <w:t xml:space="preserve">, </w:t>
      </w:r>
      <w:proofErr w:type="spellStart"/>
      <w:r w:rsidR="00094AE4" w:rsidRPr="00262544">
        <w:rPr>
          <w:sz w:val="24"/>
          <w:szCs w:val="24"/>
        </w:rPr>
        <w:t>estimportante</w:t>
      </w:r>
      <w:proofErr w:type="spellEnd"/>
      <w:r w:rsidR="00094AE4" w:rsidRPr="00262544">
        <w:rPr>
          <w:sz w:val="24"/>
          <w:szCs w:val="24"/>
        </w:rPr>
        <w:t xml:space="preserve"> à </w:t>
      </w:r>
      <w:proofErr w:type="spellStart"/>
      <w:r w:rsidR="00094AE4" w:rsidRPr="00262544">
        <w:rPr>
          <w:sz w:val="24"/>
          <w:szCs w:val="24"/>
        </w:rPr>
        <w:t>préciser</w:t>
      </w:r>
      <w:proofErr w:type="spellEnd"/>
      <w:r w:rsidR="00094AE4" w:rsidRPr="00262544">
        <w:rPr>
          <w:sz w:val="24"/>
          <w:szCs w:val="24"/>
        </w:rPr>
        <w:t xml:space="preserve"> pour la suite de la </w:t>
      </w:r>
      <w:proofErr w:type="spellStart"/>
      <w:r w:rsidR="00094AE4" w:rsidRPr="00262544">
        <w:rPr>
          <w:sz w:val="24"/>
          <w:szCs w:val="24"/>
        </w:rPr>
        <w:t>prise</w:t>
      </w:r>
      <w:proofErr w:type="spellEnd"/>
      <w:r w:rsidR="00094AE4" w:rsidRPr="00262544">
        <w:rPr>
          <w:sz w:val="24"/>
          <w:szCs w:val="24"/>
        </w:rPr>
        <w:t xml:space="preserve"> </w:t>
      </w:r>
      <w:proofErr w:type="spellStart"/>
      <w:r w:rsidR="00094AE4" w:rsidRPr="00262544">
        <w:rPr>
          <w:sz w:val="24"/>
          <w:szCs w:val="24"/>
        </w:rPr>
        <w:t>en</w:t>
      </w:r>
      <w:proofErr w:type="spellEnd"/>
      <w:r w:rsidR="00094AE4" w:rsidRPr="00262544">
        <w:rPr>
          <w:sz w:val="24"/>
          <w:szCs w:val="24"/>
        </w:rPr>
        <w:t xml:space="preserve"> charge.</w:t>
      </w:r>
      <w:r w:rsidR="00094AE4" w:rsidRPr="00262544">
        <w:rPr>
          <w:sz w:val="24"/>
          <w:szCs w:val="24"/>
        </w:rPr>
        <w:t xml:space="preserve"> </w:t>
      </w:r>
      <w:r w:rsidR="00094AE4" w:rsidRPr="00262544">
        <w:rPr>
          <w:sz w:val="24"/>
          <w:szCs w:val="24"/>
          <w:lang w:val="pt-BR"/>
        </w:rPr>
        <w:t>Il n’existe pas d’indication à réaliser une imagerie en coupe à cestade, sa seule indication serait en cas de doute diagnostique.</w:t>
      </w:r>
    </w:p>
    <w:p w14:paraId="5C2A9732" w14:textId="77777777" w:rsidR="00094AE4" w:rsidRPr="00CF52FD" w:rsidRDefault="00094AE4" w:rsidP="00094AE4">
      <w:pPr>
        <w:ind w:left="360"/>
        <w:rPr>
          <w:lang w:val="pt-BR"/>
        </w:rPr>
      </w:pPr>
    </w:p>
    <w:sectPr w:rsidR="00094AE4" w:rsidRPr="00CF52F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CBCD" w14:textId="77777777" w:rsidR="00942356" w:rsidRDefault="00942356" w:rsidP="00CF52FD">
      <w:pPr>
        <w:spacing w:after="0" w:line="240" w:lineRule="auto"/>
      </w:pPr>
      <w:r>
        <w:separator/>
      </w:r>
    </w:p>
  </w:endnote>
  <w:endnote w:type="continuationSeparator" w:id="0">
    <w:p w14:paraId="08DA9709" w14:textId="77777777" w:rsidR="00942356" w:rsidRDefault="00942356" w:rsidP="00CF52FD">
      <w:pPr>
        <w:spacing w:after="0" w:line="240" w:lineRule="auto"/>
      </w:pPr>
      <w:r>
        <w:continuationSeparator/>
      </w:r>
    </w:p>
  </w:endnote>
  <w:endnote w:id="1">
    <w:p w14:paraId="63AEABB8" w14:textId="65B18435" w:rsidR="00CF52FD" w:rsidRDefault="00CF52FD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CF52FD">
        <w:t xml:space="preserve">Banks PA, Bollen TL, </w:t>
      </w:r>
      <w:proofErr w:type="spellStart"/>
      <w:r w:rsidRPr="00CF52FD">
        <w:t>Dervenis</w:t>
      </w:r>
      <w:proofErr w:type="spellEnd"/>
      <w:r w:rsidRPr="00CF52FD">
        <w:t xml:space="preserve"> C, </w:t>
      </w:r>
      <w:proofErr w:type="spellStart"/>
      <w:r w:rsidRPr="00CF52FD">
        <w:t>Gooszen</w:t>
      </w:r>
      <w:proofErr w:type="spellEnd"/>
      <w:r w:rsidRPr="00CF52FD">
        <w:t xml:space="preserve"> HG, Johnson CD, Sarr MG, et al. </w:t>
      </w:r>
      <w:proofErr w:type="spellStart"/>
      <w:r w:rsidRPr="00CF52FD">
        <w:t>Clas-sification</w:t>
      </w:r>
      <w:proofErr w:type="spellEnd"/>
      <w:r w:rsidRPr="00CF52FD">
        <w:t xml:space="preserve"> of acute </w:t>
      </w:r>
      <w:proofErr w:type="spellStart"/>
      <w:r w:rsidRPr="00CF52FD">
        <w:t>pancreatitiS</w:t>
      </w:r>
      <w:proofErr w:type="spellEnd"/>
      <w:r w:rsidRPr="00CF52FD">
        <w:t xml:space="preserve"> 2012: revision of the Atlanta classification </w:t>
      </w:r>
      <w:proofErr w:type="spellStart"/>
      <w:r w:rsidRPr="00CF52FD">
        <w:t>anddefinitions</w:t>
      </w:r>
      <w:proofErr w:type="spellEnd"/>
      <w:r w:rsidRPr="00CF52FD">
        <w:t xml:space="preserve"> by international consensus. Gut </w:t>
      </w:r>
      <w:proofErr w:type="gramStart"/>
      <w:r w:rsidRPr="00CF52FD">
        <w:t>2013;62:102</w:t>
      </w:r>
      <w:proofErr w:type="gramEnd"/>
      <w:r w:rsidRPr="00CF52FD">
        <w:t>–11</w:t>
      </w:r>
      <w: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20D40" w14:textId="77777777" w:rsidR="00942356" w:rsidRDefault="00942356" w:rsidP="00CF52FD">
      <w:pPr>
        <w:spacing w:after="0" w:line="240" w:lineRule="auto"/>
      </w:pPr>
      <w:r>
        <w:separator/>
      </w:r>
    </w:p>
  </w:footnote>
  <w:footnote w:type="continuationSeparator" w:id="0">
    <w:p w14:paraId="79530267" w14:textId="77777777" w:rsidR="00942356" w:rsidRDefault="00942356" w:rsidP="00CF5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DECD" w14:textId="5A294B4F" w:rsidR="00FD6EFB" w:rsidRPr="00FD6EFB" w:rsidRDefault="00FD6EFB">
    <w:pPr>
      <w:pStyle w:val="Header"/>
    </w:pPr>
    <w:r w:rsidRPr="00FD6EFB">
      <w:t>https://doi.org/10.1016/j.revmed.2021.01.003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0F"/>
    <w:multiLevelType w:val="hybridMultilevel"/>
    <w:tmpl w:val="43C65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44B5D"/>
    <w:multiLevelType w:val="hybridMultilevel"/>
    <w:tmpl w:val="EFA88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460510">
    <w:abstractNumId w:val="0"/>
  </w:num>
  <w:num w:numId="2" w16cid:durableId="454177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120"/>
    <w:rsid w:val="00094AE4"/>
    <w:rsid w:val="001F14B5"/>
    <w:rsid w:val="00221499"/>
    <w:rsid w:val="00262544"/>
    <w:rsid w:val="0061272B"/>
    <w:rsid w:val="00710120"/>
    <w:rsid w:val="00942356"/>
    <w:rsid w:val="00B4674D"/>
    <w:rsid w:val="00CF52FD"/>
    <w:rsid w:val="00F27EFC"/>
    <w:rsid w:val="00FD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CCDF2A"/>
  <w15:chartTrackingRefBased/>
  <w15:docId w15:val="{FB38051B-E667-4F7F-93D3-79406D21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1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1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1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1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1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1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1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1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1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120"/>
    <w:rPr>
      <w:b/>
      <w:bCs/>
      <w:smallCaps/>
      <w:color w:val="2F5496" w:themeColor="accent1" w:themeShade="BF"/>
      <w:spacing w:val="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F52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52F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F52F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F52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52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6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EFB"/>
  </w:style>
  <w:style w:type="paragraph" w:styleId="Footer">
    <w:name w:val="footer"/>
    <w:basedOn w:val="Normal"/>
    <w:link w:val="FooterChar"/>
    <w:uiPriority w:val="99"/>
    <w:unhideWhenUsed/>
    <w:rsid w:val="00FD6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eați un document nou." ma:contentTypeScope="" ma:versionID="533b2c7077e8215297ef2bf6f5e66ae2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8afeaf9c94abe64f1a5b1549a8519140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181249-D75C-4373-92C7-AE12956388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02E25F-9535-4117-A3DB-3FC7E17591AE}"/>
</file>

<file path=customXml/itemProps3.xml><?xml version="1.0" encoding="utf-8"?>
<ds:datastoreItem xmlns:ds="http://schemas.openxmlformats.org/officeDocument/2006/customXml" ds:itemID="{59CF6011-5DB4-45ED-A89C-D666FE7822DA}"/>
</file>

<file path=customXml/itemProps4.xml><?xml version="1.0" encoding="utf-8"?>
<ds:datastoreItem xmlns:ds="http://schemas.openxmlformats.org/officeDocument/2006/customXml" ds:itemID="{C5B09261-543F-4DD3-BA94-7D046DF056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317</Words>
  <Characters>1873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ROSCA IOANA ANDREEA</dc:creator>
  <cp:keywords/>
  <dc:description/>
  <cp:lastModifiedBy>ROSCA IOANA ANDREEA</cp:lastModifiedBy>
  <cp:revision>8</cp:revision>
  <dcterms:created xsi:type="dcterms:W3CDTF">2024-01-14T10:41:00Z</dcterms:created>
  <dcterms:modified xsi:type="dcterms:W3CDTF">2024-01-14T11:22:00Z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bb261e0a-43ad-43e5-b8c5-887e684e1c47</vt:lpwstr>
  </property>
  <property fmtid="{D5CDD505-2E9C-101B-9397-08002B2CF9AE}" pid="3" name="ContentTypeId">
    <vt:lpwstr>0x0101003E234CFF9BA5D6439357A426A2FD0F7B</vt:lpwstr>
  </property>
</Properties>
</file>